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80" w:lineRule="atLeast"/>
        <w:ind w:left="0" w:right="0" w:firstLine="640"/>
        <w:jc w:val="center"/>
        <w:rPr>
          <w:rFonts w:hint="eastAsia" w:ascii="仿宋" w:hAnsi="仿宋" w:eastAsia="仿宋" w:cs="仿宋"/>
          <w:sz w:val="32"/>
          <w:szCs w:val="32"/>
        </w:rPr>
      </w:pPr>
      <w:bookmarkStart w:id="0" w:name="_GoBack"/>
      <w:bookmarkEnd w:id="0"/>
    </w:p>
    <w:p>
      <w:pPr>
        <w:pStyle w:val="2"/>
        <w:keepNext w:val="0"/>
        <w:keepLines w:val="0"/>
        <w:widowControl/>
        <w:suppressLineNumbers w:val="0"/>
        <w:spacing w:before="0" w:beforeAutospacing="0" w:after="0" w:afterAutospacing="0" w:line="580" w:lineRule="atLeast"/>
        <w:ind w:left="0" w:right="0" w:firstLine="64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80" w:lineRule="atLeast"/>
        <w:ind w:left="0" w:right="0" w:firstLine="64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80" w:lineRule="atLeast"/>
        <w:ind w:left="0" w:right="0" w:firstLine="64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80" w:lineRule="atLeast"/>
        <w:ind w:left="0" w:right="0" w:firstLine="640"/>
        <w:jc w:val="center"/>
        <w:rPr>
          <w:rFonts w:ascii="方正小标宋简体" w:hAnsi="方正小标宋简体" w:eastAsia="方正小标宋简体" w:cs="方正小标宋简体"/>
          <w:sz w:val="44"/>
          <w:szCs w:val="44"/>
        </w:rPr>
      </w:pPr>
      <w:r>
        <w:rPr>
          <w:rFonts w:hint="eastAsia" w:ascii="仿宋" w:hAnsi="仿宋" w:eastAsia="仿宋" w:cs="仿宋"/>
          <w:sz w:val="32"/>
          <w:szCs w:val="32"/>
        </w:rPr>
        <w:t>全政〔2020〕13号</w:t>
      </w:r>
    </w:p>
    <w:p>
      <w:pPr>
        <w:pStyle w:val="2"/>
        <w:keepNext w:val="0"/>
        <w:keepLines w:val="0"/>
        <w:widowControl/>
        <w:suppressLineNumbers w:val="0"/>
        <w:spacing w:before="0" w:beforeAutospacing="0" w:after="0" w:afterAutospacing="0" w:line="560" w:lineRule="atLeast"/>
        <w:ind w:right="0"/>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w:t>
      </w:r>
      <w:r>
        <w:rPr>
          <w:rFonts w:hint="default" w:ascii="Times New Roman" w:hAnsi="Times New Roman" w:eastAsia="等线" w:cs="Times New Roman"/>
          <w:sz w:val="44"/>
          <w:szCs w:val="44"/>
        </w:rPr>
        <w:t>2020</w:t>
      </w:r>
      <w:r>
        <w:rPr>
          <w:rFonts w:hint="default" w:ascii="方正小标宋简体" w:hAnsi="方正小标宋简体" w:eastAsia="方正小标宋简体" w:cs="方正小标宋简体"/>
          <w:sz w:val="44"/>
          <w:szCs w:val="44"/>
        </w:rPr>
        <w:t>年实施</w:t>
      </w:r>
      <w:r>
        <w:rPr>
          <w:rFonts w:hint="default" w:ascii="Times New Roman" w:hAnsi="Times New Roman" w:eastAsia="等线" w:cs="Times New Roman"/>
          <w:sz w:val="44"/>
          <w:szCs w:val="44"/>
        </w:rPr>
        <w:t>30</w:t>
      </w:r>
      <w:r>
        <w:rPr>
          <w:rFonts w:hint="default" w:ascii="方正小标宋简体" w:hAnsi="方正小标宋简体" w:eastAsia="方正小标宋简体" w:cs="方正小标宋简体"/>
          <w:sz w:val="44"/>
          <w:szCs w:val="44"/>
        </w:rPr>
        <w:t>项民生工程的通知</w:t>
      </w:r>
    </w:p>
    <w:p>
      <w:pPr>
        <w:pStyle w:val="2"/>
        <w:keepNext w:val="0"/>
        <w:keepLines w:val="0"/>
        <w:widowControl/>
        <w:suppressLineNumbers w:val="0"/>
        <w:spacing w:before="0" w:beforeAutospacing="0" w:after="0" w:afterAutospacing="0" w:line="560" w:lineRule="atLeast"/>
        <w:ind w:right="0"/>
        <w:jc w:val="center"/>
        <w:rPr>
          <w:rFonts w:hint="eastAsia" w:ascii="方正小标宋简体" w:hAnsi="方正小标宋简体" w:eastAsia="方正小标宋简体" w:cs="方正小标宋简体"/>
          <w:sz w:val="44"/>
          <w:szCs w:val="44"/>
        </w:rPr>
      </w:pPr>
    </w:p>
    <w:p>
      <w:pPr>
        <w:pStyle w:val="2"/>
        <w:keepNext w:val="0"/>
        <w:keepLines w:val="0"/>
        <w:widowControl/>
        <w:suppressLineNumbers w:val="0"/>
        <w:spacing w:before="0" w:beforeAutospacing="0" w:after="0" w:afterAutospacing="0" w:line="580" w:lineRule="atLeast"/>
        <w:ind w:left="0" w:right="0"/>
        <w:jc w:val="both"/>
        <w:rPr>
          <w:rFonts w:hint="eastAsia" w:ascii="等线" w:hAnsi="等线" w:eastAsia="等线" w:cs="等线"/>
          <w:sz w:val="21"/>
          <w:szCs w:val="21"/>
        </w:rPr>
      </w:pPr>
      <w:r>
        <w:rPr>
          <w:rFonts w:ascii="仿宋" w:hAnsi="仿宋" w:eastAsia="仿宋" w:cs="仿宋"/>
          <w:sz w:val="32"/>
          <w:szCs w:val="32"/>
        </w:rPr>
        <w:t>各镇人民政府，县政府各有关部门、直属机构：</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sz w:val="32"/>
          <w:szCs w:val="32"/>
        </w:rPr>
        <w:t>为全面贯彻落实习近平新时代中国特色社会主义思想和党的十九大及十九届二中、三中、四中全会精神，认真落实县委十四届十次全会和县“两会”决策部署，切实保障和改善民生，不断满足人民日益增长的美好生活需要，根据《安徽省人民政府关于</w:t>
      </w:r>
      <w:r>
        <w:rPr>
          <w:rFonts w:hint="default" w:ascii="Times New Roman" w:hAnsi="Times New Roman" w:eastAsia="等线" w:cs="Times New Roman"/>
          <w:sz w:val="32"/>
          <w:szCs w:val="32"/>
        </w:rPr>
        <w:t>2020</w:t>
      </w:r>
      <w:r>
        <w:rPr>
          <w:rFonts w:hint="eastAsia" w:ascii="仿宋" w:hAnsi="仿宋" w:eastAsia="仿宋" w:cs="仿宋"/>
          <w:sz w:val="32"/>
          <w:szCs w:val="32"/>
        </w:rPr>
        <w:t>年实施</w:t>
      </w:r>
      <w:r>
        <w:rPr>
          <w:rFonts w:hint="default" w:ascii="Times New Roman" w:hAnsi="Times New Roman" w:eastAsia="等线" w:cs="Times New Roman"/>
          <w:sz w:val="32"/>
          <w:szCs w:val="32"/>
        </w:rPr>
        <w:t>33</w:t>
      </w:r>
      <w:r>
        <w:rPr>
          <w:rFonts w:hint="eastAsia" w:ascii="仿宋" w:hAnsi="仿宋" w:eastAsia="仿宋" w:cs="仿宋"/>
          <w:sz w:val="32"/>
          <w:szCs w:val="32"/>
        </w:rPr>
        <w:t>项民生工程的通知》（皖政〔</w:t>
      </w:r>
      <w:r>
        <w:rPr>
          <w:rFonts w:hint="default" w:ascii="Times New Roman" w:hAnsi="Times New Roman" w:eastAsia="等线" w:cs="Times New Roman"/>
          <w:sz w:val="32"/>
          <w:szCs w:val="32"/>
        </w:rPr>
        <w:t>2020</w:t>
      </w:r>
      <w:r>
        <w:rPr>
          <w:rFonts w:hint="eastAsia" w:ascii="仿宋" w:hAnsi="仿宋" w:eastAsia="仿宋" w:cs="仿宋"/>
          <w:sz w:val="32"/>
          <w:szCs w:val="32"/>
        </w:rPr>
        <w:t>〕</w:t>
      </w:r>
      <w:r>
        <w:rPr>
          <w:rFonts w:hint="default" w:ascii="Times New Roman" w:hAnsi="Times New Roman" w:eastAsia="等线" w:cs="Times New Roman"/>
          <w:sz w:val="32"/>
          <w:szCs w:val="32"/>
        </w:rPr>
        <w:t>17</w:t>
      </w:r>
      <w:r>
        <w:rPr>
          <w:rFonts w:hint="eastAsia" w:ascii="仿宋" w:hAnsi="仿宋" w:eastAsia="仿宋" w:cs="仿宋"/>
          <w:sz w:val="32"/>
          <w:szCs w:val="32"/>
        </w:rPr>
        <w:t>号）精神，现就我县</w:t>
      </w:r>
      <w:r>
        <w:rPr>
          <w:rFonts w:hint="default" w:ascii="Times New Roman" w:hAnsi="Times New Roman" w:eastAsia="等线" w:cs="Times New Roman"/>
          <w:sz w:val="32"/>
          <w:szCs w:val="32"/>
        </w:rPr>
        <w:t>2020</w:t>
      </w:r>
      <w:r>
        <w:rPr>
          <w:rFonts w:hint="eastAsia" w:ascii="仿宋" w:hAnsi="仿宋" w:eastAsia="仿宋" w:cs="仿宋"/>
          <w:sz w:val="32"/>
          <w:szCs w:val="32"/>
        </w:rPr>
        <w:t>年实施</w:t>
      </w:r>
      <w:r>
        <w:rPr>
          <w:rFonts w:hint="default" w:ascii="Times New Roman" w:hAnsi="Times New Roman" w:eastAsia="等线" w:cs="Times New Roman"/>
          <w:sz w:val="32"/>
          <w:szCs w:val="32"/>
        </w:rPr>
        <w:t>30</w:t>
      </w:r>
      <w:r>
        <w:rPr>
          <w:rFonts w:hint="eastAsia" w:ascii="仿宋" w:hAnsi="仿宋" w:eastAsia="仿宋" w:cs="仿宋"/>
          <w:sz w:val="32"/>
          <w:szCs w:val="32"/>
        </w:rPr>
        <w:t>项民生工程通知如下：</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ascii="黑体" w:hAnsi="宋体" w:eastAsia="黑体" w:cs="黑体"/>
          <w:sz w:val="32"/>
          <w:szCs w:val="32"/>
        </w:rPr>
        <w:t>一、新增</w:t>
      </w:r>
      <w:r>
        <w:rPr>
          <w:rFonts w:hint="default" w:ascii="Times New Roman" w:hAnsi="Times New Roman" w:eastAsia="等线" w:cs="Times New Roman"/>
          <w:sz w:val="32"/>
          <w:szCs w:val="32"/>
        </w:rPr>
        <w:t>3</w:t>
      </w:r>
      <w:r>
        <w:rPr>
          <w:rFonts w:hint="eastAsia" w:ascii="黑体" w:hAnsi="宋体" w:eastAsia="黑体" w:cs="黑体"/>
          <w:sz w:val="32"/>
          <w:szCs w:val="32"/>
        </w:rPr>
        <w:t>项民生工程</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ascii="楷体" w:hAnsi="楷体" w:eastAsia="楷体" w:cs="楷体"/>
          <w:b/>
          <w:sz w:val="32"/>
          <w:szCs w:val="32"/>
        </w:rPr>
        <w:t>（一）农村改厕及废弃物资源化利用。</w:t>
      </w:r>
      <w:r>
        <w:rPr>
          <w:rFonts w:hint="eastAsia" w:ascii="仿宋" w:hAnsi="仿宋" w:eastAsia="仿宋" w:cs="仿宋"/>
          <w:sz w:val="32"/>
          <w:szCs w:val="32"/>
        </w:rPr>
        <w:t>根据全面推进农村人居环境整治要求，在统筹推进秸秆综合利用、畜禽粪污资源化利用的同时，因地制宜，建管一体，采取适当模式推进农村户用厕所改造，加强粪污废弃物收集、处理和资源化利用全过程管理，加快改善农村人居环境。</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（二）出生缺陷防治。</w:t>
      </w:r>
      <w:r>
        <w:rPr>
          <w:rFonts w:hint="eastAsia" w:ascii="仿宋" w:hAnsi="仿宋" w:eastAsia="仿宋" w:cs="仿宋"/>
          <w:sz w:val="32"/>
          <w:szCs w:val="32"/>
        </w:rPr>
        <w:t>围绕《健康中国行动组织实施和考核方案》和“健康安徽</w:t>
      </w:r>
      <w:r>
        <w:rPr>
          <w:rFonts w:hint="default" w:ascii="Times New Roman" w:hAnsi="Times New Roman" w:eastAsia="等线" w:cs="Times New Roman"/>
          <w:sz w:val="32"/>
          <w:szCs w:val="32"/>
        </w:rPr>
        <w:t>2030</w:t>
      </w:r>
      <w:r>
        <w:rPr>
          <w:rFonts w:hint="eastAsia" w:ascii="仿宋" w:hAnsi="仿宋" w:eastAsia="仿宋" w:cs="仿宋"/>
          <w:sz w:val="32"/>
          <w:szCs w:val="32"/>
        </w:rPr>
        <w:t>”规划纲要，在全县开展产前筛查技术咨询、孕中期唐氏血清学三联筛查以及优生优育健康知识宣教等，促进全县产前筛查率稳步提高，有效降低出生缺陷发生率，提高出生人口素质。</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（三）智慧健康建设。</w:t>
      </w:r>
      <w:r>
        <w:rPr>
          <w:rFonts w:hint="eastAsia" w:ascii="仿宋" w:hAnsi="仿宋" w:eastAsia="仿宋" w:cs="仿宋"/>
          <w:sz w:val="32"/>
          <w:szCs w:val="32"/>
        </w:rPr>
        <w:t>围绕《健康中国行动（</w:t>
      </w:r>
      <w:r>
        <w:rPr>
          <w:rFonts w:hint="default" w:ascii="Times New Roman" w:hAnsi="Times New Roman" w:eastAsia="等线" w:cs="Times New Roman"/>
          <w:sz w:val="32"/>
          <w:szCs w:val="32"/>
        </w:rPr>
        <w:t>2019-2030</w:t>
      </w:r>
      <w:r>
        <w:rPr>
          <w:rFonts w:hint="eastAsia" w:ascii="仿宋" w:hAnsi="仿宋" w:eastAsia="仿宋" w:cs="仿宋"/>
          <w:sz w:val="32"/>
          <w:szCs w:val="32"/>
        </w:rPr>
        <w:t>）》和新冠肺炎疫情防控新形势，在继续推进“智医助理”基础上，加快“智联网医院”建设，面向基层打造人机协同的诊疗模式，提升基层医疗服务水平。同时，建设“安康码”综合服务平台，统筹推进电子健康卡、社会保障卡、医保电子凭证与“安康码”互联互通，推广更多场景的长期广泛应用，为居民正常生活提供便利，为加强个人健康管理提供支撑，推动提升治理体系和治理能力现代化水平。</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sz w:val="32"/>
          <w:szCs w:val="32"/>
        </w:rPr>
        <w:t>二、完善</w:t>
      </w:r>
      <w:r>
        <w:rPr>
          <w:rFonts w:hint="default" w:ascii="Times New Roman" w:hAnsi="Times New Roman" w:eastAsia="等线" w:cs="Times New Roman"/>
          <w:sz w:val="32"/>
          <w:szCs w:val="32"/>
        </w:rPr>
        <w:t>4</w:t>
      </w:r>
      <w:r>
        <w:rPr>
          <w:rFonts w:hint="eastAsia" w:ascii="黑体" w:hAnsi="宋体" w:eastAsia="黑体" w:cs="黑体"/>
          <w:sz w:val="32"/>
          <w:szCs w:val="32"/>
        </w:rPr>
        <w:t>项民生工程</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（一）城镇老旧小区改造。</w:t>
      </w:r>
      <w:r>
        <w:rPr>
          <w:rFonts w:hint="eastAsia" w:ascii="仿宋" w:hAnsi="仿宋" w:eastAsia="仿宋" w:cs="仿宋"/>
          <w:sz w:val="32"/>
          <w:szCs w:val="32"/>
        </w:rPr>
        <w:t>进一步完善信息化社会治安防控体系，提升社会治理现代化水平，将老旧小区智慧安防设施建设纳入城镇老旧小区改造内容。</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（二）城乡居民基本医疗保险。</w:t>
      </w:r>
      <w:r>
        <w:rPr>
          <w:rFonts w:hint="eastAsia" w:ascii="仿宋" w:hAnsi="仿宋" w:eastAsia="仿宋" w:cs="仿宋"/>
          <w:sz w:val="32"/>
          <w:szCs w:val="32"/>
        </w:rPr>
        <w:t>根据国家统一部署，适时提高城乡居民基本医疗保险补助标准。</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（三）家庭经济困难学生资助。</w:t>
      </w:r>
      <w:r>
        <w:rPr>
          <w:rFonts w:hint="eastAsia" w:ascii="仿宋" w:hAnsi="仿宋" w:eastAsia="仿宋" w:cs="仿宋"/>
          <w:sz w:val="32"/>
          <w:szCs w:val="32"/>
        </w:rPr>
        <w:t>根据国家统一部署，将高职学生国家励志奖学金、助学金覆盖面提高</w:t>
      </w:r>
      <w:r>
        <w:rPr>
          <w:rFonts w:hint="default" w:ascii="Times New Roman" w:hAnsi="Times New Roman" w:eastAsia="等线" w:cs="Times New Roman"/>
          <w:sz w:val="32"/>
          <w:szCs w:val="32"/>
        </w:rPr>
        <w:t>10%</w:t>
      </w:r>
      <w:r>
        <w:rPr>
          <w:rFonts w:hint="eastAsia" w:ascii="仿宋" w:hAnsi="仿宋" w:eastAsia="仿宋" w:cs="仿宋"/>
          <w:sz w:val="32"/>
          <w:szCs w:val="32"/>
        </w:rPr>
        <w:t>，将普通本科、高职学生国家助学金平均补助标准从每生每年</w:t>
      </w:r>
      <w:r>
        <w:rPr>
          <w:rFonts w:hint="default" w:ascii="Times New Roman" w:hAnsi="Times New Roman" w:eastAsia="等线" w:cs="Times New Roman"/>
          <w:sz w:val="32"/>
          <w:szCs w:val="32"/>
        </w:rPr>
        <w:t>3000</w:t>
      </w:r>
      <w:r>
        <w:rPr>
          <w:rFonts w:hint="eastAsia" w:ascii="仿宋" w:hAnsi="仿宋" w:eastAsia="仿宋" w:cs="仿宋"/>
          <w:sz w:val="32"/>
          <w:szCs w:val="32"/>
        </w:rPr>
        <w:t>元提高到</w:t>
      </w:r>
      <w:r>
        <w:rPr>
          <w:rFonts w:hint="default" w:ascii="Times New Roman" w:hAnsi="Times New Roman" w:eastAsia="等线" w:cs="Times New Roman"/>
          <w:sz w:val="32"/>
          <w:szCs w:val="32"/>
        </w:rPr>
        <w:t>3300</w:t>
      </w:r>
      <w:r>
        <w:rPr>
          <w:rFonts w:hint="eastAsia" w:ascii="仿宋" w:hAnsi="仿宋" w:eastAsia="仿宋" w:cs="仿宋"/>
          <w:sz w:val="32"/>
          <w:szCs w:val="32"/>
        </w:rPr>
        <w:t>元。</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（四）文化惠民工程。</w:t>
      </w:r>
      <w:r>
        <w:rPr>
          <w:rFonts w:hint="eastAsia" w:ascii="仿宋" w:hAnsi="仿宋" w:eastAsia="仿宋" w:cs="仿宋"/>
          <w:sz w:val="32"/>
          <w:szCs w:val="32"/>
        </w:rPr>
        <w:t>考虑农家书屋已稳步推进，转为部门日常工作。继续实施公共文化场馆开放、文化信息共享工程，积极组织开展农村文化活动、农村体育活动。同时，将农村应急广播建设纳入文化惠民工程内容，建设与全省各级预警信息发布系统有效对接的基层应急广播体系，进一步提升预警信息发布和政策宣讲服务水平。</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sz w:val="32"/>
          <w:szCs w:val="32"/>
        </w:rPr>
        <w:t>三、调整和退出</w:t>
      </w:r>
      <w:r>
        <w:rPr>
          <w:rFonts w:hint="default" w:ascii="Times New Roman" w:hAnsi="Times New Roman" w:eastAsia="等线" w:cs="Times New Roman"/>
          <w:sz w:val="32"/>
          <w:szCs w:val="32"/>
        </w:rPr>
        <w:t>3</w:t>
      </w:r>
      <w:r>
        <w:rPr>
          <w:rFonts w:hint="eastAsia" w:ascii="黑体" w:hAnsi="宋体" w:eastAsia="黑体" w:cs="黑体"/>
          <w:sz w:val="32"/>
          <w:szCs w:val="32"/>
        </w:rPr>
        <w:t>项民生工程</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sz w:val="32"/>
          <w:szCs w:val="32"/>
        </w:rPr>
        <w:t>农村改厕及废弃物资源化利用已单独立项，农村污水、垃圾治理纳入美丽乡村建设项目中统筹实施，农村环境“三大革命”不再单列。“智医助理”已纳入智慧健康建设统筹实施，家庭医生签约服务已健全机制，转为部门日常工作，智慧医疗不再单列。秸秆综合利用工程机制已健全，现已常态化运行，退出民生工程。</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sz w:val="32"/>
          <w:szCs w:val="32"/>
        </w:rPr>
        <w:t>四、继续实施</w:t>
      </w:r>
      <w:r>
        <w:rPr>
          <w:rFonts w:hint="default" w:ascii="Times New Roman" w:hAnsi="Times New Roman" w:eastAsia="等线" w:cs="Times New Roman"/>
          <w:sz w:val="32"/>
          <w:szCs w:val="32"/>
        </w:rPr>
        <w:t>23</w:t>
      </w:r>
      <w:r>
        <w:rPr>
          <w:rFonts w:hint="eastAsia" w:ascii="黑体" w:hAnsi="宋体" w:eastAsia="黑体" w:cs="黑体"/>
          <w:sz w:val="32"/>
          <w:szCs w:val="32"/>
        </w:rPr>
        <w:t>项民生工程</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sz w:val="32"/>
          <w:szCs w:val="32"/>
        </w:rPr>
        <w:t>继续实施“四带一自”产业扶贫、党建引领扶贫、资产收益扶贫、“四好农村路”建设、农村危房改造、农村饮水安全巩固提升工程、农产品质量安全追溯、健康脱贫综合医疗保障、贫困残疾人康复、城乡困难群体法律援助、美丽乡村建设、就业创业促进、农村电商提质增效、技能培训提升、养老服务和智慧养老、困难人员救助暨困难职工帮扶、城乡居民大病保险、城乡居民基本养老保险、妇幼健康水平提升和职业病防治、学前教育促进、义务教育经费保障、水利薄弱环节治理、棚户区改造等</w:t>
      </w:r>
      <w:r>
        <w:rPr>
          <w:rFonts w:hint="default" w:ascii="Times New Roman" w:hAnsi="Times New Roman" w:eastAsia="等线" w:cs="Times New Roman"/>
          <w:sz w:val="32"/>
          <w:szCs w:val="32"/>
        </w:rPr>
        <w:t>23</w:t>
      </w:r>
      <w:r>
        <w:rPr>
          <w:rFonts w:hint="eastAsia" w:ascii="仿宋" w:hAnsi="仿宋" w:eastAsia="仿宋" w:cs="仿宋"/>
          <w:sz w:val="32"/>
          <w:szCs w:val="32"/>
        </w:rPr>
        <w:t>项民生工程。</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sz w:val="32"/>
          <w:szCs w:val="32"/>
        </w:rPr>
        <w:t>五、无任务</w:t>
      </w:r>
      <w:r>
        <w:rPr>
          <w:rFonts w:hint="default" w:ascii="Times New Roman" w:hAnsi="Times New Roman" w:eastAsia="等线" w:cs="Times New Roman"/>
          <w:sz w:val="32"/>
          <w:szCs w:val="32"/>
        </w:rPr>
        <w:t>3</w:t>
      </w:r>
      <w:r>
        <w:rPr>
          <w:rFonts w:hint="eastAsia" w:ascii="黑体" w:hAnsi="宋体" w:eastAsia="黑体" w:cs="黑体"/>
          <w:sz w:val="32"/>
          <w:szCs w:val="32"/>
        </w:rPr>
        <w:t>项民生工程</w:t>
      </w:r>
      <w:r>
        <w:rPr>
          <w:rFonts w:hint="default" w:ascii="Times New Roman" w:hAnsi="Times New Roman" w:eastAsia="等线" w:cs="Times New Roman"/>
          <w:sz w:val="32"/>
          <w:szCs w:val="32"/>
        </w:rPr>
        <w:t xml:space="preserve"> </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sz w:val="32"/>
          <w:szCs w:val="32"/>
        </w:rPr>
        <w:t>2020</w:t>
      </w:r>
      <w:r>
        <w:rPr>
          <w:rFonts w:hint="eastAsia" w:ascii="仿宋" w:hAnsi="仿宋" w:eastAsia="仿宋" w:cs="仿宋"/>
          <w:sz w:val="32"/>
          <w:szCs w:val="32"/>
        </w:rPr>
        <w:t>年省定民生工程</w:t>
      </w:r>
      <w:r>
        <w:rPr>
          <w:rFonts w:hint="default" w:ascii="Times New Roman" w:hAnsi="Times New Roman" w:eastAsia="等线" w:cs="Times New Roman"/>
          <w:sz w:val="32"/>
          <w:szCs w:val="32"/>
        </w:rPr>
        <w:t>33</w:t>
      </w:r>
      <w:r>
        <w:rPr>
          <w:rFonts w:hint="eastAsia" w:ascii="仿宋" w:hAnsi="仿宋" w:eastAsia="仿宋" w:cs="仿宋"/>
          <w:sz w:val="32"/>
          <w:szCs w:val="32"/>
        </w:rPr>
        <w:t>项，我县智慧学校建设、水环境生态补偿、贫困地区义务教育学生营养改善</w:t>
      </w:r>
      <w:r>
        <w:rPr>
          <w:rFonts w:hint="default" w:ascii="Times New Roman" w:hAnsi="Times New Roman" w:eastAsia="等线" w:cs="Times New Roman"/>
          <w:sz w:val="32"/>
          <w:szCs w:val="32"/>
        </w:rPr>
        <w:t>3</w:t>
      </w:r>
      <w:r>
        <w:rPr>
          <w:rFonts w:hint="eastAsia" w:ascii="仿宋" w:hAnsi="仿宋" w:eastAsia="仿宋" w:cs="仿宋"/>
          <w:sz w:val="32"/>
          <w:szCs w:val="32"/>
        </w:rPr>
        <w:t>项无建设任务，实际实施</w:t>
      </w:r>
      <w:r>
        <w:rPr>
          <w:rFonts w:hint="default" w:ascii="Times New Roman" w:hAnsi="Times New Roman" w:eastAsia="等线" w:cs="Times New Roman"/>
          <w:sz w:val="32"/>
          <w:szCs w:val="32"/>
        </w:rPr>
        <w:t>30</w:t>
      </w:r>
      <w:r>
        <w:rPr>
          <w:rFonts w:hint="eastAsia" w:ascii="仿宋" w:hAnsi="仿宋" w:eastAsia="仿宋" w:cs="仿宋"/>
          <w:sz w:val="32"/>
          <w:szCs w:val="32"/>
        </w:rPr>
        <w:t>项。</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sz w:val="32"/>
          <w:szCs w:val="32"/>
        </w:rPr>
        <w:t>六、工作要求</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（一）聚焦短板领域。</w:t>
      </w:r>
      <w:r>
        <w:rPr>
          <w:rFonts w:hint="eastAsia" w:ascii="仿宋" w:hAnsi="仿宋" w:eastAsia="仿宋" w:cs="仿宋"/>
          <w:sz w:val="32"/>
          <w:szCs w:val="32"/>
        </w:rPr>
        <w:t>以疫情防控为切入点，聚焦困难人员救助、“四带一自”产业扶贫、美丽乡村建设、城镇老旧小区改造、就业创业促进、智慧健康建设等项目，加快补齐农村基础设施、重点群体就业和公共卫生服务等民生短板。</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（二）精准高效实施。</w:t>
      </w:r>
      <w:r>
        <w:rPr>
          <w:rFonts w:hint="eastAsia" w:ascii="仿宋" w:hAnsi="仿宋" w:eastAsia="仿宋" w:cs="仿宋"/>
          <w:sz w:val="32"/>
          <w:szCs w:val="32"/>
        </w:rPr>
        <w:t>按照项目化实施、精细化管理的思路，优化推进民生工程的务实举措，重点做好摸透情况、设计方案、严格评估、列入计划、落实验收等环节工作，健全民情反映、投入保障、督查考评等工作机制，狠抓项目建设质量，持续加强过程管控。</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（三）强化资金保障。</w:t>
      </w:r>
      <w:r>
        <w:rPr>
          <w:rFonts w:hint="eastAsia" w:ascii="仿宋" w:hAnsi="仿宋" w:eastAsia="仿宋" w:cs="仿宋"/>
          <w:sz w:val="32"/>
          <w:szCs w:val="32"/>
        </w:rPr>
        <w:t>真正过紧日子，坚决压缩一般性支出。坚持尽力而为、量力而行，发挥好财政资金精准补短板和民生兜底作用。加大逆周期调节力度，重点保障改善民生领域的投入，兜牢“三保”底线。</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（四）巩固建后管养。</w:t>
      </w:r>
      <w:r>
        <w:rPr>
          <w:rFonts w:hint="eastAsia" w:ascii="仿宋" w:hAnsi="仿宋" w:eastAsia="仿宋" w:cs="仿宋"/>
          <w:sz w:val="32"/>
          <w:szCs w:val="32"/>
        </w:rPr>
        <w:t>统筹考虑政府事权、产权归属、项目特点、经费来源、受益群体等因素，在强化政府责任的同时，充分发挥市场作用，合理确定管养主体，分类明确管养模式，保障落实管养经费，全面提升管养水平和质量。</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（五）完善绩效评价。</w:t>
      </w:r>
      <w:r>
        <w:rPr>
          <w:rFonts w:hint="eastAsia" w:ascii="仿宋" w:hAnsi="仿宋" w:eastAsia="仿宋" w:cs="仿宋"/>
          <w:sz w:val="32"/>
          <w:szCs w:val="32"/>
        </w:rPr>
        <w:t>按照中央关于全面实施预算绩效管理的决策部署，对当前社会关注度高、事关群众切身利益的民生工程项目逐步开展绩效评价，强化绩效评价结果反馈和绩效问题整改责任落实，加强绩效评价结果应用。</w:t>
      </w:r>
    </w:p>
    <w:p>
      <w:pPr>
        <w:pStyle w:val="2"/>
        <w:keepNext w:val="0"/>
        <w:keepLines w:val="0"/>
        <w:widowControl/>
        <w:suppressLineNumbers w:val="0"/>
        <w:spacing w:before="0" w:beforeAutospacing="0" w:after="0" w:afterAutospacing="0" w:line="580" w:lineRule="atLeast"/>
        <w:ind w:left="0" w:right="0" w:firstLine="643"/>
        <w:jc w:val="both"/>
        <w:rPr>
          <w:rFonts w:hint="eastAsia" w:ascii="等线" w:hAnsi="等线" w:eastAsia="等线" w:cs="等线"/>
          <w:sz w:val="21"/>
          <w:szCs w:val="21"/>
        </w:rPr>
      </w:pPr>
      <w:r>
        <w:rPr>
          <w:rFonts w:hint="eastAsia" w:ascii="楷体" w:hAnsi="楷体" w:eastAsia="楷体" w:cs="楷体"/>
          <w:b/>
          <w:sz w:val="32"/>
          <w:szCs w:val="32"/>
        </w:rPr>
        <w:t>（六）压实各级责任。</w:t>
      </w:r>
      <w:r>
        <w:rPr>
          <w:rFonts w:hint="eastAsia" w:ascii="仿宋" w:hAnsi="仿宋" w:eastAsia="仿宋" w:cs="仿宋"/>
          <w:sz w:val="32"/>
          <w:szCs w:val="32"/>
        </w:rPr>
        <w:t>县财政局承担民生工程牵头抓总职责，各项目县直主管单位履行主管职责，各镇人民政府履行主体职责，要对照目标责任书，强化责任落实、作风建设和跟踪问效，坚决反对形式主义、官僚主义，真正把民生工程办成民心工程。</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sz w:val="32"/>
          <w:szCs w:val="32"/>
        </w:rPr>
        <w:t> </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sz w:val="32"/>
          <w:szCs w:val="32"/>
        </w:rPr>
        <w:t>附件：全椒县</w:t>
      </w:r>
      <w:r>
        <w:rPr>
          <w:rFonts w:hint="default" w:ascii="Times New Roman" w:hAnsi="Times New Roman" w:eastAsia="等线" w:cs="Times New Roman"/>
          <w:sz w:val="32"/>
          <w:szCs w:val="32"/>
        </w:rPr>
        <w:t>2020</w:t>
      </w:r>
      <w:r>
        <w:rPr>
          <w:rFonts w:hint="eastAsia" w:ascii="仿宋" w:hAnsi="仿宋" w:eastAsia="仿宋" w:cs="仿宋"/>
          <w:sz w:val="32"/>
          <w:szCs w:val="32"/>
        </w:rPr>
        <w:t>年</w:t>
      </w:r>
      <w:r>
        <w:rPr>
          <w:rFonts w:hint="default" w:ascii="Times New Roman" w:hAnsi="Times New Roman" w:eastAsia="等线" w:cs="Times New Roman"/>
          <w:sz w:val="32"/>
          <w:szCs w:val="32"/>
        </w:rPr>
        <w:t>30</w:t>
      </w:r>
      <w:r>
        <w:rPr>
          <w:rFonts w:hint="eastAsia" w:ascii="仿宋" w:hAnsi="仿宋" w:eastAsia="仿宋" w:cs="仿宋"/>
          <w:sz w:val="32"/>
          <w:szCs w:val="32"/>
        </w:rPr>
        <w:t>项民生工程牵头实施部门一览表</w:t>
      </w:r>
    </w:p>
    <w:p>
      <w:pPr>
        <w:pStyle w:val="2"/>
        <w:keepNext w:val="0"/>
        <w:keepLines w:val="0"/>
        <w:widowControl/>
        <w:suppressLineNumbers w:val="0"/>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sz w:val="32"/>
          <w:szCs w:val="32"/>
        </w:rPr>
        <w:t>                          </w:t>
      </w:r>
      <w:r>
        <w:rPr>
          <w:rFonts w:hint="eastAsia" w:ascii="Times New Roman" w:hAnsi="Times New Roman" w:eastAsia="等线" w:cs="Times New Roman"/>
          <w:sz w:val="32"/>
          <w:szCs w:val="32"/>
          <w:lang w:val="en-US" w:eastAsia="zh-CN"/>
        </w:rPr>
        <w:t xml:space="preserve">   </w:t>
      </w:r>
      <w:r>
        <w:rPr>
          <w:rFonts w:hint="default" w:ascii="Times New Roman" w:hAnsi="Times New Roman" w:eastAsia="等线" w:cs="Times New Roman"/>
          <w:sz w:val="32"/>
          <w:szCs w:val="32"/>
        </w:rPr>
        <w:t> 2020</w:t>
      </w:r>
      <w:r>
        <w:rPr>
          <w:rFonts w:hint="eastAsia" w:ascii="仿宋" w:hAnsi="仿宋" w:eastAsia="仿宋" w:cs="仿宋"/>
          <w:sz w:val="32"/>
          <w:szCs w:val="32"/>
        </w:rPr>
        <w:t>年</w:t>
      </w:r>
      <w:r>
        <w:rPr>
          <w:rFonts w:hint="default" w:ascii="Times New Roman" w:hAnsi="Times New Roman" w:eastAsia="等线" w:cs="Times New Roman"/>
          <w:sz w:val="32"/>
          <w:szCs w:val="32"/>
        </w:rPr>
        <w:t>4</w:t>
      </w:r>
      <w:r>
        <w:rPr>
          <w:rFonts w:hint="eastAsia" w:ascii="仿宋" w:hAnsi="仿宋" w:eastAsia="仿宋" w:cs="仿宋"/>
          <w:sz w:val="32"/>
          <w:szCs w:val="32"/>
        </w:rPr>
        <w:t>月</w:t>
      </w:r>
      <w:r>
        <w:rPr>
          <w:rFonts w:hint="default" w:ascii="Times New Roman" w:hAnsi="Times New Roman" w:eastAsia="等线" w:cs="Times New Roman"/>
          <w:sz w:val="32"/>
          <w:szCs w:val="32"/>
        </w:rPr>
        <w:t>10</w:t>
      </w:r>
      <w:r>
        <w:rPr>
          <w:rFonts w:hint="eastAsia" w:ascii="仿宋" w:hAnsi="仿宋" w:eastAsia="仿宋" w:cs="仿宋"/>
          <w:sz w:val="32"/>
          <w:szCs w:val="32"/>
        </w:rPr>
        <w:t>日</w:t>
      </w:r>
    </w:p>
    <w:p>
      <w:pPr>
        <w:pStyle w:val="2"/>
        <w:keepNext w:val="0"/>
        <w:keepLines w:val="0"/>
        <w:widowControl/>
        <w:suppressLineNumbers w:val="0"/>
        <w:spacing w:before="0" w:beforeAutospacing="0" w:after="0" w:afterAutospacing="0" w:line="580" w:lineRule="atLeast"/>
        <w:ind w:left="0" w:right="0" w:firstLine="5120"/>
        <w:jc w:val="both"/>
        <w:rPr>
          <w:rFonts w:hint="eastAsia" w:ascii="等线" w:hAnsi="等线" w:eastAsia="等线" w:cs="等线"/>
          <w:sz w:val="21"/>
          <w:szCs w:val="21"/>
        </w:rPr>
      </w:pPr>
      <w:r>
        <w:rPr>
          <w:rFonts w:hint="default" w:ascii="Times New Roman" w:hAnsi="Times New Roman" w:eastAsia="等线" w:cs="Times New Roman"/>
          <w:sz w:val="32"/>
          <w:szCs w:val="32"/>
        </w:rPr>
        <w:t> </w:t>
      </w:r>
    </w:p>
    <w:p>
      <w:pPr>
        <w:pStyle w:val="2"/>
        <w:keepNext w:val="0"/>
        <w:keepLines w:val="0"/>
        <w:widowControl/>
        <w:suppressLineNumbers w:val="0"/>
        <w:spacing w:before="0" w:beforeAutospacing="0" w:after="0" w:afterAutospacing="0" w:line="580" w:lineRule="atLeast"/>
        <w:ind w:left="0" w:right="0"/>
        <w:jc w:val="both"/>
        <w:rPr>
          <w:rFonts w:hint="eastAsia" w:ascii="黑体" w:hAnsi="宋体" w:eastAsia="黑体" w:cs="黑体"/>
          <w:sz w:val="32"/>
          <w:szCs w:val="32"/>
        </w:rPr>
      </w:pPr>
    </w:p>
    <w:p>
      <w:pPr>
        <w:pStyle w:val="2"/>
        <w:keepNext w:val="0"/>
        <w:keepLines w:val="0"/>
        <w:widowControl/>
        <w:suppressLineNumbers w:val="0"/>
        <w:spacing w:before="0" w:beforeAutospacing="0" w:after="0" w:afterAutospacing="0" w:line="580" w:lineRule="atLeast"/>
        <w:ind w:left="0" w:right="0"/>
        <w:jc w:val="both"/>
        <w:rPr>
          <w:rFonts w:hint="eastAsia" w:ascii="等线" w:hAnsi="等线" w:eastAsia="等线" w:cs="等线"/>
          <w:sz w:val="21"/>
          <w:szCs w:val="21"/>
        </w:rPr>
      </w:pPr>
      <w:r>
        <w:rPr>
          <w:rFonts w:hint="eastAsia" w:ascii="黑体" w:hAnsi="宋体" w:eastAsia="黑体" w:cs="黑体"/>
          <w:sz w:val="32"/>
          <w:szCs w:val="32"/>
        </w:rPr>
        <w:t>附件</w:t>
      </w:r>
      <w:r>
        <w:rPr>
          <w:rFonts w:hint="eastAsia" w:ascii="仿宋" w:hAnsi="仿宋" w:eastAsia="仿宋" w:cs="仿宋"/>
          <w:sz w:val="32"/>
          <w:szCs w:val="32"/>
        </w:rPr>
        <w:t>：</w:t>
      </w:r>
    </w:p>
    <w:p>
      <w:pPr>
        <w:pStyle w:val="2"/>
        <w:keepNext w:val="0"/>
        <w:keepLines w:val="0"/>
        <w:widowControl/>
        <w:suppressLineNumbers w:val="0"/>
        <w:shd w:val="clear" w:fill="FFFFFF"/>
        <w:spacing w:before="0" w:beforeAutospacing="0" w:after="0" w:afterAutospacing="0" w:line="560" w:lineRule="atLeast"/>
        <w:ind w:left="0" w:right="0"/>
        <w:jc w:val="center"/>
        <w:rPr>
          <w:rFonts w:hint="eastAsia" w:ascii="宋体" w:hAnsi="宋体" w:eastAsia="宋体" w:cs="宋体"/>
          <w:sz w:val="24"/>
          <w:szCs w:val="24"/>
        </w:rPr>
      </w:pPr>
      <w:r>
        <w:rPr>
          <w:rFonts w:hint="default" w:ascii="方正小标宋简体" w:hAnsi="方正小标宋简体" w:eastAsia="方正小标宋简体" w:cs="方正小标宋简体"/>
          <w:sz w:val="44"/>
          <w:szCs w:val="44"/>
          <w:shd w:val="clear" w:fill="FFFFFF"/>
        </w:rPr>
        <w:t>全椒县</w:t>
      </w:r>
      <w:r>
        <w:rPr>
          <w:rFonts w:hint="default" w:ascii="Times New Roman" w:hAnsi="Times New Roman" w:eastAsia="宋体" w:cs="Times New Roman"/>
          <w:sz w:val="44"/>
          <w:szCs w:val="44"/>
          <w:shd w:val="clear" w:fill="FFFFFF"/>
        </w:rPr>
        <w:t>2020</w:t>
      </w:r>
      <w:r>
        <w:rPr>
          <w:rFonts w:hint="default" w:ascii="方正小标宋简体" w:hAnsi="方正小标宋简体" w:eastAsia="方正小标宋简体" w:cs="方正小标宋简体"/>
          <w:sz w:val="44"/>
          <w:szCs w:val="44"/>
          <w:shd w:val="clear" w:fill="FFFFFF"/>
        </w:rPr>
        <w:t>年</w:t>
      </w:r>
      <w:r>
        <w:rPr>
          <w:rFonts w:hint="default" w:ascii="Times New Roman" w:hAnsi="Times New Roman" w:eastAsia="宋体" w:cs="Times New Roman"/>
          <w:sz w:val="44"/>
          <w:szCs w:val="44"/>
          <w:shd w:val="clear" w:fill="FFFFFF"/>
        </w:rPr>
        <w:t>30</w:t>
      </w:r>
      <w:r>
        <w:rPr>
          <w:rFonts w:hint="default" w:ascii="方正小标宋简体" w:hAnsi="方正小标宋简体" w:eastAsia="方正小标宋简体" w:cs="方正小标宋简体"/>
          <w:sz w:val="44"/>
          <w:szCs w:val="44"/>
          <w:shd w:val="clear" w:fill="FFFFFF"/>
        </w:rPr>
        <w:t>项民生工程牵头实施部门</w:t>
      </w:r>
    </w:p>
    <w:p>
      <w:pPr>
        <w:pStyle w:val="2"/>
        <w:keepNext w:val="0"/>
        <w:keepLines w:val="0"/>
        <w:widowControl/>
        <w:suppressLineNumbers w:val="0"/>
        <w:shd w:val="clear" w:fill="FFFFFF"/>
        <w:spacing w:before="0" w:beforeAutospacing="0" w:after="0" w:afterAutospacing="0" w:line="560" w:lineRule="atLeast"/>
        <w:ind w:left="0" w:right="0"/>
        <w:jc w:val="center"/>
        <w:rPr>
          <w:rFonts w:hint="eastAsia" w:ascii="宋体" w:hAnsi="宋体" w:eastAsia="宋体" w:cs="宋体"/>
          <w:sz w:val="24"/>
          <w:szCs w:val="24"/>
        </w:rPr>
      </w:pPr>
      <w:r>
        <w:rPr>
          <w:rFonts w:hint="default" w:ascii="方正小标宋简体" w:hAnsi="方正小标宋简体" w:eastAsia="方正小标宋简体" w:cs="方正小标宋简体"/>
          <w:sz w:val="44"/>
          <w:szCs w:val="44"/>
          <w:shd w:val="clear" w:fill="FFFFFF"/>
        </w:rPr>
        <w:t>一览表</w:t>
      </w:r>
    </w:p>
    <w:p>
      <w:pPr>
        <w:pStyle w:val="2"/>
        <w:keepNext w:val="0"/>
        <w:keepLines w:val="0"/>
        <w:widowControl/>
        <w:suppressLineNumbers w:val="0"/>
        <w:shd w:val="clear" w:fill="FFFFFF"/>
        <w:spacing w:before="0" w:beforeAutospacing="0" w:after="0" w:afterAutospacing="0" w:line="560" w:lineRule="atLeast"/>
        <w:ind w:left="0" w:right="0"/>
        <w:jc w:val="center"/>
        <w:rPr>
          <w:rFonts w:hint="eastAsia" w:ascii="宋体" w:hAnsi="宋体" w:eastAsia="宋体" w:cs="宋体"/>
          <w:sz w:val="24"/>
          <w:szCs w:val="24"/>
        </w:rPr>
      </w:pPr>
      <w:r>
        <w:rPr>
          <w:rFonts w:hint="default" w:ascii="Times New Roman" w:hAnsi="Times New Roman" w:eastAsia="宋体" w:cs="Times New Roman"/>
          <w:sz w:val="44"/>
          <w:szCs w:val="44"/>
          <w:shd w:val="clear" w:fill="FFFFFF"/>
        </w:rPr>
        <w:t> </w:t>
      </w:r>
    </w:p>
    <w:tbl>
      <w:tblPr>
        <w:tblW w:w="10129" w:type="dxa"/>
        <w:jc w:val="center"/>
        <w:shd w:val="clear"/>
        <w:tblLayout w:type="autofit"/>
        <w:tblCellMar>
          <w:top w:w="0" w:type="dxa"/>
          <w:left w:w="0" w:type="dxa"/>
          <w:bottom w:w="0" w:type="dxa"/>
          <w:right w:w="0" w:type="dxa"/>
        </w:tblCellMar>
      </w:tblPr>
      <w:tblGrid>
        <w:gridCol w:w="929"/>
        <w:gridCol w:w="4360"/>
        <w:gridCol w:w="2100"/>
        <w:gridCol w:w="2740"/>
      </w:tblGrid>
      <w:tr>
        <w:tblPrEx>
          <w:shd w:val="clear"/>
          <w:tblCellMar>
            <w:top w:w="0" w:type="dxa"/>
            <w:left w:w="0" w:type="dxa"/>
            <w:bottom w:w="0" w:type="dxa"/>
            <w:right w:w="0" w:type="dxa"/>
          </w:tblCellMar>
        </w:tblPrEx>
        <w:trPr>
          <w:cantSplit/>
          <w:trHeight w:val="525" w:hRule="atLeast"/>
          <w:tblHeader/>
          <w:jc w:val="center"/>
        </w:trPr>
        <w:tc>
          <w:tcPr>
            <w:tcW w:w="92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序号</w:t>
            </w:r>
          </w:p>
        </w:tc>
        <w:tc>
          <w:tcPr>
            <w:tcW w:w="436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项目名称</w:t>
            </w:r>
          </w:p>
        </w:tc>
        <w:tc>
          <w:tcPr>
            <w:tcW w:w="210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牵头实施责任单位</w:t>
            </w:r>
          </w:p>
        </w:tc>
        <w:tc>
          <w:tcPr>
            <w:tcW w:w="274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备</w:t>
            </w:r>
            <w:r>
              <w:rPr>
                <w:rFonts w:hint="default" w:ascii="Times New Roman" w:hAnsi="Times New Roman" w:eastAsia="等线" w:cs="Times New Roman"/>
                <w:sz w:val="22"/>
                <w:szCs w:val="22"/>
              </w:rPr>
              <w:t xml:space="preserve">  </w:t>
            </w:r>
            <w:r>
              <w:rPr>
                <w:rFonts w:hint="eastAsia" w:ascii="黑体" w:hAnsi="宋体" w:eastAsia="黑体" w:cs="黑体"/>
                <w:sz w:val="22"/>
                <w:szCs w:val="22"/>
              </w:rPr>
              <w:t>注</w:t>
            </w:r>
          </w:p>
        </w:tc>
      </w:tr>
      <w:tr>
        <w:tblPrEx>
          <w:shd w:val="clear"/>
          <w:tblCellMar>
            <w:top w:w="0" w:type="dxa"/>
            <w:left w:w="0" w:type="dxa"/>
            <w:bottom w:w="0" w:type="dxa"/>
            <w:right w:w="0" w:type="dxa"/>
          </w:tblCellMar>
        </w:tblPrEx>
        <w:trPr>
          <w:cantSplit/>
          <w:trHeight w:val="609"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“四好农村路”建设</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县交通局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561"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水利薄弱环节治理</w:t>
            </w:r>
          </w:p>
        </w:tc>
        <w:tc>
          <w:tcPr>
            <w:tcW w:w="21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县水利局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569"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3</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农村饮水安全巩固提升工程</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551"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4</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农村危房改造</w:t>
            </w:r>
          </w:p>
        </w:tc>
        <w:tc>
          <w:tcPr>
            <w:tcW w:w="21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县住建局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559"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5</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城镇老旧小区改造</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完善项目</w:t>
            </w:r>
          </w:p>
        </w:tc>
      </w:tr>
      <w:tr>
        <w:tblPrEx>
          <w:shd w:val="clear"/>
          <w:tblCellMar>
            <w:top w:w="0" w:type="dxa"/>
            <w:left w:w="0" w:type="dxa"/>
            <w:bottom w:w="0" w:type="dxa"/>
            <w:right w:w="0" w:type="dxa"/>
          </w:tblCellMar>
        </w:tblPrEx>
        <w:trPr>
          <w:cantSplit/>
          <w:trHeight w:val="567"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6</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棚户区改造</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7</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城乡困难群体法律援助</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县司法局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8</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资产收益扶贫</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县财政局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9</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城乡居民基本医疗保险</w:t>
            </w:r>
          </w:p>
        </w:tc>
        <w:tc>
          <w:tcPr>
            <w:tcW w:w="2100" w:type="dxa"/>
            <w:vMerge w:val="restar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县医保局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完善项目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10</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城乡居民大病保险</w:t>
            </w:r>
          </w:p>
        </w:tc>
        <w:tc>
          <w:tcPr>
            <w:tcW w:w="210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11</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健康脱贫综合医疗保障</w:t>
            </w:r>
          </w:p>
        </w:tc>
        <w:tc>
          <w:tcPr>
            <w:tcW w:w="210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12</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党建引领扶贫</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县委组织部</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13</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美丽乡村建设</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县美丽办</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585"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14</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文化惠民工程（文化惠民工程；体育活动）</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县文旅局</w:t>
            </w:r>
            <w:r>
              <w:rPr>
                <w:rFonts w:hint="default" w:ascii="Times New Roman" w:hAnsi="Times New Roman" w:eastAsia="等线" w:cs="Times New Roman"/>
                <w:sz w:val="22"/>
                <w:szCs w:val="22"/>
              </w:rPr>
              <w:br w:type="textWrapping"/>
            </w:r>
            <w:r>
              <w:rPr>
                <w:rFonts w:hint="eastAsia" w:ascii="宋体" w:hAnsi="宋体" w:eastAsia="宋体" w:cs="宋体"/>
                <w:sz w:val="22"/>
                <w:szCs w:val="22"/>
              </w:rPr>
              <w:t>县教体局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完善项目，</w:t>
            </w:r>
            <w:r>
              <w:rPr>
                <w:rFonts w:hint="default" w:ascii="Times New Roman" w:hAnsi="Times New Roman" w:eastAsia="等线" w:cs="Times New Roman"/>
                <w:sz w:val="22"/>
                <w:szCs w:val="22"/>
              </w:rPr>
              <w:t>2</w:t>
            </w:r>
            <w:r>
              <w:rPr>
                <w:rFonts w:hint="eastAsia" w:ascii="宋体" w:hAnsi="宋体" w:eastAsia="宋体" w:cs="宋体"/>
                <w:sz w:val="22"/>
                <w:szCs w:val="22"/>
              </w:rPr>
              <w:t>个单位分别实施</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15</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农产品质量安全追溯</w:t>
            </w:r>
          </w:p>
        </w:tc>
        <w:tc>
          <w:tcPr>
            <w:tcW w:w="21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县农业农村局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16</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农村改厕及废弃物资源化利用</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新增实施项目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17</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“四带一自”产业扶贫</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18</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义务教育经费保障</w:t>
            </w:r>
          </w:p>
        </w:tc>
        <w:tc>
          <w:tcPr>
            <w:tcW w:w="21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县教体局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19</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家庭经济困难学生资助</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完善项目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20</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学前教育促进</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21</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养老服务和智慧养老</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县民政局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556"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序号</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项目名称</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牵头实施责任单位</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黑体" w:hAnsi="宋体" w:eastAsia="黑体" w:cs="黑体"/>
                <w:sz w:val="22"/>
                <w:szCs w:val="22"/>
              </w:rPr>
              <w:t>备</w:t>
            </w:r>
            <w:r>
              <w:rPr>
                <w:rFonts w:hint="default" w:ascii="Times New Roman" w:hAnsi="Times New Roman" w:eastAsia="等线" w:cs="Times New Roman"/>
                <w:sz w:val="22"/>
                <w:szCs w:val="22"/>
              </w:rPr>
              <w:t xml:space="preserve">  </w:t>
            </w:r>
            <w:r>
              <w:rPr>
                <w:rFonts w:hint="eastAsia" w:ascii="黑体" w:hAnsi="宋体" w:eastAsia="黑体" w:cs="黑体"/>
                <w:sz w:val="22"/>
                <w:szCs w:val="22"/>
              </w:rPr>
              <w:t>注</w:t>
            </w:r>
          </w:p>
        </w:tc>
      </w:tr>
      <w:tr>
        <w:tblPrEx>
          <w:shd w:val="clear"/>
          <w:tblCellMar>
            <w:top w:w="0" w:type="dxa"/>
            <w:left w:w="0" w:type="dxa"/>
            <w:bottom w:w="0" w:type="dxa"/>
            <w:right w:w="0" w:type="dxa"/>
          </w:tblCellMar>
        </w:tblPrEx>
        <w:trPr>
          <w:cantSplit/>
          <w:trHeight w:val="135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22</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困难人员救助暨困难职工帮扶（农村居民最低生活保障、特困人员供养及运行维护、孤儿基本生活保障、生活无着人员社会救助、困难残疾人生活和护理补贴、城乡医疗救助；困难职工帮扶）</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县民政局</w:t>
            </w:r>
            <w:r>
              <w:rPr>
                <w:rFonts w:hint="default" w:ascii="Times New Roman" w:hAnsi="Times New Roman" w:eastAsia="等线" w:cs="Times New Roman"/>
                <w:sz w:val="22"/>
                <w:szCs w:val="22"/>
              </w:rPr>
              <w:br w:type="textWrapping"/>
            </w:r>
            <w:r>
              <w:rPr>
                <w:rFonts w:hint="eastAsia" w:ascii="宋体" w:hAnsi="宋体" w:eastAsia="宋体" w:cs="宋体"/>
                <w:sz w:val="22"/>
                <w:szCs w:val="22"/>
              </w:rPr>
              <w:t>县总工会</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r>
              <w:rPr>
                <w:rFonts w:hint="default" w:ascii="Times New Roman" w:hAnsi="Times New Roman" w:eastAsia="等线" w:cs="Times New Roman"/>
                <w:sz w:val="22"/>
                <w:szCs w:val="22"/>
              </w:rPr>
              <w:t>2</w:t>
            </w:r>
            <w:r>
              <w:rPr>
                <w:rFonts w:hint="eastAsia" w:ascii="宋体" w:hAnsi="宋体" w:eastAsia="宋体" w:cs="宋体"/>
                <w:sz w:val="22"/>
                <w:szCs w:val="22"/>
              </w:rPr>
              <w:t>个单位分别实施</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23</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出生缺陷防治</w:t>
            </w:r>
          </w:p>
        </w:tc>
        <w:tc>
          <w:tcPr>
            <w:tcW w:w="21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县卫健委</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新增实施项目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24</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智慧健康建设</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新增实施项目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25</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妇幼健康水平提升和职业病防治</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26</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就业创业促进</w:t>
            </w:r>
          </w:p>
        </w:tc>
        <w:tc>
          <w:tcPr>
            <w:tcW w:w="21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县人社局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27</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城乡居民基本养老保险</w:t>
            </w:r>
          </w:p>
        </w:tc>
        <w:tc>
          <w:tcPr>
            <w:tcW w:w="21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28</w:t>
            </w:r>
          </w:p>
        </w:tc>
        <w:tc>
          <w:tcPr>
            <w:tcW w:w="43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农村电商提质增效</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县商务局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390"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29</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贫困残疾人康复</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县残联</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继续实施项目</w:t>
            </w:r>
          </w:p>
        </w:tc>
      </w:tr>
      <w:tr>
        <w:tblPrEx>
          <w:shd w:val="clear"/>
          <w:tblCellMar>
            <w:top w:w="0" w:type="dxa"/>
            <w:left w:w="0" w:type="dxa"/>
            <w:bottom w:w="0" w:type="dxa"/>
            <w:right w:w="0" w:type="dxa"/>
          </w:tblCellMar>
        </w:tblPrEx>
        <w:trPr>
          <w:cantSplit/>
          <w:trHeight w:val="915" w:hRule="atLeast"/>
          <w:tblHeader/>
          <w:jc w:val="center"/>
        </w:trPr>
        <w:tc>
          <w:tcPr>
            <w:tcW w:w="929"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default" w:ascii="Times New Roman" w:hAnsi="Times New Roman" w:eastAsia="等线" w:cs="Times New Roman"/>
                <w:sz w:val="22"/>
                <w:szCs w:val="22"/>
              </w:rPr>
              <w:t>30</w:t>
            </w:r>
          </w:p>
        </w:tc>
        <w:tc>
          <w:tcPr>
            <w:tcW w:w="43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技能培训提升（新型农民培训；技能脱贫培训、企业新录用人员技能培训；退役士兵培训）</w:t>
            </w:r>
          </w:p>
        </w:tc>
        <w:tc>
          <w:tcPr>
            <w:tcW w:w="21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等线" w:hAnsi="等线" w:eastAsia="等线" w:cs="等线"/>
                <w:sz w:val="21"/>
                <w:szCs w:val="21"/>
              </w:rPr>
            </w:pPr>
            <w:r>
              <w:rPr>
                <w:rFonts w:hint="eastAsia" w:ascii="宋体" w:hAnsi="宋体" w:eastAsia="宋体" w:cs="宋体"/>
                <w:sz w:val="22"/>
                <w:szCs w:val="22"/>
              </w:rPr>
              <w:t>县农业农村局</w:t>
            </w:r>
            <w:r>
              <w:rPr>
                <w:rFonts w:hint="default" w:ascii="Times New Roman" w:hAnsi="Times New Roman" w:eastAsia="等线" w:cs="Times New Roman"/>
                <w:sz w:val="22"/>
                <w:szCs w:val="22"/>
              </w:rPr>
              <w:br w:type="textWrapping"/>
            </w:r>
            <w:r>
              <w:rPr>
                <w:rFonts w:hint="eastAsia" w:ascii="宋体" w:hAnsi="宋体" w:eastAsia="宋体" w:cs="宋体"/>
                <w:sz w:val="22"/>
                <w:szCs w:val="22"/>
              </w:rPr>
              <w:t>县人社局</w:t>
            </w:r>
            <w:r>
              <w:rPr>
                <w:rFonts w:hint="default" w:ascii="Times New Roman" w:hAnsi="Times New Roman" w:eastAsia="等线" w:cs="Times New Roman"/>
                <w:sz w:val="22"/>
                <w:szCs w:val="22"/>
              </w:rPr>
              <w:br w:type="textWrapping"/>
            </w:r>
            <w:r>
              <w:rPr>
                <w:rFonts w:hint="eastAsia" w:ascii="宋体" w:hAnsi="宋体" w:eastAsia="宋体" w:cs="宋体"/>
                <w:sz w:val="22"/>
                <w:szCs w:val="22"/>
              </w:rPr>
              <w:t>县退役军人事务局</w:t>
            </w:r>
          </w:p>
        </w:tc>
        <w:tc>
          <w:tcPr>
            <w:tcW w:w="274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ind w:left="0" w:right="0"/>
              <w:jc w:val="left"/>
              <w:rPr>
                <w:rFonts w:hint="eastAsia" w:ascii="等线" w:hAnsi="等线" w:eastAsia="等线" w:cs="等线"/>
                <w:sz w:val="21"/>
                <w:szCs w:val="21"/>
              </w:rPr>
            </w:pPr>
            <w:r>
              <w:rPr>
                <w:rFonts w:hint="eastAsia" w:ascii="宋体" w:hAnsi="宋体" w:eastAsia="宋体" w:cs="宋体"/>
                <w:sz w:val="22"/>
                <w:szCs w:val="22"/>
              </w:rPr>
              <w:t>继续实施项目，</w:t>
            </w:r>
            <w:r>
              <w:rPr>
                <w:rFonts w:hint="default" w:ascii="Times New Roman" w:hAnsi="Times New Roman" w:eastAsia="等线" w:cs="Times New Roman"/>
                <w:sz w:val="22"/>
                <w:szCs w:val="22"/>
              </w:rPr>
              <w:t>3</w:t>
            </w:r>
            <w:r>
              <w:rPr>
                <w:rFonts w:hint="eastAsia" w:ascii="宋体" w:hAnsi="宋体" w:eastAsia="宋体" w:cs="宋体"/>
                <w:sz w:val="22"/>
                <w:szCs w:val="22"/>
              </w:rPr>
              <w:t>个单位分别实施</w:t>
            </w:r>
          </w:p>
        </w:tc>
      </w:tr>
    </w:tbl>
    <w:p>
      <w:pPr>
        <w:pStyle w:val="2"/>
        <w:keepNext w:val="0"/>
        <w:keepLines w:val="0"/>
        <w:widowControl/>
        <w:suppressLineNumbers w:val="0"/>
        <w:shd w:val="clear" w:fill="FFFFFF"/>
        <w:spacing w:before="0" w:beforeAutospacing="0" w:after="0" w:afterAutospacing="0" w:line="400" w:lineRule="atLeast"/>
        <w:ind w:left="0" w:right="0"/>
        <w:rPr>
          <w:rFonts w:hint="eastAsia" w:ascii="宋体" w:hAnsi="宋体" w:eastAsia="宋体" w:cs="宋体"/>
          <w:sz w:val="24"/>
          <w:szCs w:val="24"/>
        </w:rPr>
      </w:pPr>
      <w:r>
        <w:rPr>
          <w:rFonts w:hint="eastAsia" w:ascii="仿宋" w:hAnsi="仿宋" w:eastAsia="仿宋" w:cs="仿宋"/>
          <w:sz w:val="28"/>
          <w:szCs w:val="28"/>
          <w:shd w:val="clear" w:fill="FFFFFF"/>
        </w:rPr>
        <w:t>注：</w:t>
      </w:r>
      <w:r>
        <w:rPr>
          <w:rFonts w:hint="default" w:ascii="Times New Roman" w:hAnsi="Times New Roman" w:eastAsia="宋体" w:cs="Times New Roman"/>
          <w:sz w:val="28"/>
          <w:szCs w:val="28"/>
          <w:shd w:val="clear" w:fill="FFFFFF"/>
        </w:rPr>
        <w:t>2020</w:t>
      </w:r>
      <w:r>
        <w:rPr>
          <w:rFonts w:hint="eastAsia" w:ascii="仿宋" w:hAnsi="仿宋" w:eastAsia="仿宋" w:cs="仿宋"/>
          <w:sz w:val="28"/>
          <w:szCs w:val="28"/>
          <w:shd w:val="clear" w:fill="FFFFFF"/>
        </w:rPr>
        <w:t>年我县共实施</w:t>
      </w:r>
      <w:r>
        <w:rPr>
          <w:rFonts w:hint="default" w:ascii="Times New Roman" w:hAnsi="Times New Roman" w:eastAsia="宋体" w:cs="Times New Roman"/>
          <w:sz w:val="28"/>
          <w:szCs w:val="28"/>
          <w:shd w:val="clear" w:fill="FFFFFF"/>
        </w:rPr>
        <w:t>30</w:t>
      </w:r>
      <w:r>
        <w:rPr>
          <w:rFonts w:hint="eastAsia" w:ascii="仿宋" w:hAnsi="仿宋" w:eastAsia="仿宋" w:cs="仿宋"/>
          <w:sz w:val="28"/>
          <w:szCs w:val="28"/>
          <w:shd w:val="clear" w:fill="FFFFFF"/>
        </w:rPr>
        <w:t>项民生工程，牵头实施部门</w:t>
      </w:r>
      <w:r>
        <w:rPr>
          <w:rFonts w:hint="default" w:ascii="Times New Roman" w:hAnsi="Times New Roman" w:eastAsia="宋体" w:cs="Times New Roman"/>
          <w:sz w:val="28"/>
          <w:szCs w:val="28"/>
          <w:shd w:val="clear" w:fill="FFFFFF"/>
        </w:rPr>
        <w:t>18</w:t>
      </w:r>
      <w:r>
        <w:rPr>
          <w:rFonts w:hint="eastAsia" w:ascii="仿宋" w:hAnsi="仿宋" w:eastAsia="仿宋" w:cs="仿宋"/>
          <w:sz w:val="28"/>
          <w:szCs w:val="28"/>
          <w:shd w:val="clear" w:fill="FFFFFF"/>
        </w:rPr>
        <w:t>个，其中：文化惠民工程由</w:t>
      </w:r>
      <w:r>
        <w:rPr>
          <w:rFonts w:hint="default" w:ascii="Times New Roman" w:hAnsi="Times New Roman" w:eastAsia="宋体" w:cs="Times New Roman"/>
          <w:sz w:val="28"/>
          <w:szCs w:val="28"/>
          <w:shd w:val="clear" w:fill="FFFFFF"/>
        </w:rPr>
        <w:t>2</w:t>
      </w:r>
      <w:r>
        <w:rPr>
          <w:rFonts w:hint="eastAsia" w:ascii="仿宋" w:hAnsi="仿宋" w:eastAsia="仿宋" w:cs="仿宋"/>
          <w:sz w:val="28"/>
          <w:szCs w:val="28"/>
          <w:shd w:val="clear" w:fill="FFFFFF"/>
        </w:rPr>
        <w:t>个单位分别实施，困难人员救助暨困难职工帮扶工程由</w:t>
      </w:r>
      <w:r>
        <w:rPr>
          <w:rFonts w:hint="default" w:ascii="Times New Roman" w:hAnsi="Times New Roman" w:eastAsia="宋体" w:cs="Times New Roman"/>
          <w:sz w:val="28"/>
          <w:szCs w:val="28"/>
          <w:shd w:val="clear" w:fill="FFFFFF"/>
        </w:rPr>
        <w:t>2</w:t>
      </w:r>
      <w:r>
        <w:rPr>
          <w:rFonts w:hint="eastAsia" w:ascii="仿宋" w:hAnsi="仿宋" w:eastAsia="仿宋" w:cs="仿宋"/>
          <w:sz w:val="28"/>
          <w:szCs w:val="28"/>
          <w:shd w:val="clear" w:fill="FFFFFF"/>
        </w:rPr>
        <w:t>个单位分别实施，技能培训提升由</w:t>
      </w:r>
      <w:r>
        <w:rPr>
          <w:rFonts w:hint="default" w:ascii="Times New Roman" w:hAnsi="Times New Roman" w:eastAsia="宋体" w:cs="Times New Roman"/>
          <w:sz w:val="28"/>
          <w:szCs w:val="28"/>
          <w:shd w:val="clear" w:fill="FFFFFF"/>
        </w:rPr>
        <w:t>3</w:t>
      </w:r>
      <w:r>
        <w:rPr>
          <w:rFonts w:hint="eastAsia" w:ascii="仿宋" w:hAnsi="仿宋" w:eastAsia="仿宋" w:cs="仿宋"/>
          <w:sz w:val="28"/>
          <w:szCs w:val="28"/>
          <w:shd w:val="clear" w:fill="FFFFFF"/>
        </w:rPr>
        <w:t>个单位分别实施。</w:t>
      </w:r>
    </w:p>
    <w:p>
      <w:pPr>
        <w:pStyle w:val="2"/>
        <w:keepNext w:val="0"/>
        <w:keepLines w:val="0"/>
        <w:widowControl/>
        <w:suppressLineNumbers w:val="0"/>
        <w:spacing w:before="0" w:beforeAutospacing="0" w:after="0" w:afterAutospacing="0" w:line="480" w:lineRule="atLeast"/>
        <w:ind w:left="0" w:right="0"/>
        <w:jc w:val="both"/>
        <w:rPr>
          <w:rFonts w:hint="eastAsia" w:ascii="等线" w:hAnsi="等线" w:eastAsia="等线" w:cs="等线"/>
          <w:sz w:val="21"/>
          <w:szCs w:val="21"/>
        </w:rPr>
      </w:pPr>
      <w:r>
        <w:rPr>
          <w:rFonts w:hint="default" w:ascii="Times New Roman" w:hAnsi="Times New Roman" w:eastAsia="等线" w:cs="Times New Roman"/>
          <w:sz w:val="28"/>
          <w:szCs w:val="28"/>
        </w:rPr>
        <w:t> </w:t>
      </w:r>
    </w:p>
    <w:p>
      <w:pPr>
        <w:pStyle w:val="2"/>
        <w:keepNext w:val="0"/>
        <w:keepLines w:val="0"/>
        <w:widowControl/>
        <w:suppressLineNumbers w:val="0"/>
        <w:spacing w:before="0" w:beforeAutospacing="0" w:after="0" w:afterAutospacing="0" w:line="480" w:lineRule="atLeast"/>
        <w:ind w:left="0" w:right="0"/>
        <w:jc w:val="center"/>
        <w:rPr>
          <w:rFonts w:hint="eastAsia" w:ascii="等线" w:hAnsi="等线" w:eastAsia="等线" w:cs="等线"/>
          <w:sz w:val="21"/>
          <w:szCs w:val="21"/>
        </w:rPr>
      </w:pPr>
      <w:r>
        <w:rPr>
          <w:rFonts w:hint="default" w:ascii="Times New Roman" w:hAnsi="Times New Roman" w:eastAsia="等线" w:cs="Times New Roman"/>
          <w:sz w:val="28"/>
          <w:szCs w:val="28"/>
        </w:rPr>
        <w:t>                                   2020</w:t>
      </w:r>
      <w:r>
        <w:rPr>
          <w:rFonts w:hint="eastAsia" w:ascii="仿宋" w:hAnsi="仿宋" w:eastAsia="仿宋" w:cs="仿宋"/>
          <w:sz w:val="28"/>
          <w:szCs w:val="28"/>
        </w:rPr>
        <w:t>年</w:t>
      </w:r>
      <w:r>
        <w:rPr>
          <w:rFonts w:hint="default" w:ascii="Times New Roman" w:hAnsi="Times New Roman" w:eastAsia="等线" w:cs="Times New Roman"/>
          <w:sz w:val="28"/>
          <w:szCs w:val="28"/>
        </w:rPr>
        <w:t>4</w:t>
      </w:r>
      <w:r>
        <w:rPr>
          <w:rFonts w:hint="eastAsia" w:ascii="仿宋" w:hAnsi="仿宋" w:eastAsia="仿宋" w:cs="仿宋"/>
          <w:sz w:val="28"/>
          <w:szCs w:val="28"/>
        </w:rPr>
        <w:t>月</w:t>
      </w:r>
      <w:r>
        <w:rPr>
          <w:rFonts w:hint="default" w:ascii="Times New Roman" w:hAnsi="Times New Roman" w:eastAsia="等线" w:cs="Times New Roman"/>
          <w:sz w:val="28"/>
          <w:szCs w:val="28"/>
        </w:rPr>
        <w:t>10</w:t>
      </w:r>
      <w:r>
        <w:rPr>
          <w:rFonts w:hint="eastAsia" w:ascii="仿宋" w:hAnsi="仿宋" w:eastAsia="仿宋" w:cs="仿宋"/>
          <w:sz w:val="28"/>
          <w:szCs w:val="28"/>
        </w:rPr>
        <w:t>日</w:t>
      </w:r>
    </w:p>
    <w:p>
      <w:pPr>
        <w:pStyle w:val="2"/>
        <w:keepNext w:val="0"/>
        <w:keepLines w:val="0"/>
        <w:widowControl/>
        <w:suppressLineNumbers w:val="0"/>
        <w:spacing w:before="0" w:beforeAutospacing="0" w:after="0" w:afterAutospacing="0" w:line="480" w:lineRule="atLeast"/>
        <w:ind w:left="0" w:right="0"/>
        <w:jc w:val="both"/>
        <w:rPr>
          <w:rFonts w:hint="eastAsia" w:ascii="等线" w:hAnsi="等线" w:eastAsia="等线" w:cs="等线"/>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110F8"/>
    <w:rsid w:val="63EF415E"/>
    <w:rsid w:val="6A71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2020-10-16T03:11:00Z</dcterms:created>
  <dc:creator>小兔子乖乖</dc:creator>
  <cp:lastModifiedBy>小兔子乖乖</cp:lastModifiedBy>
  <dcterms:modified xsi:type="dcterms:W3CDTF">2020-10-16T03:13:49Z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