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eastAsia" w:ascii="Times New Roman" w:hAnsi="Times New Roman" w:eastAsia="方正小标宋简体" w:cs="Times New Roman"/>
          <w:b/>
          <w:color w:val="auto"/>
          <w:sz w:val="48"/>
          <w:szCs w:val="48"/>
          <w:lang w:eastAsia="zh-CN"/>
        </w:rPr>
      </w:pPr>
      <w:r>
        <w:rPr>
          <w:rFonts w:hint="eastAsia" w:ascii="Times New Roman" w:hAnsi="Times New Roman" w:eastAsia="方正小标宋简体" w:cs="Times New Roman"/>
          <w:b/>
          <w:color w:val="auto"/>
          <w:sz w:val="48"/>
          <w:szCs w:val="48"/>
          <w:lang w:eastAsia="zh-CN"/>
        </w:rPr>
        <w:t>全椒县水利局</w:t>
      </w:r>
      <w:r>
        <w:rPr>
          <w:rFonts w:hint="default" w:ascii="Times New Roman" w:hAnsi="Times New Roman" w:eastAsia="方正小标宋简体" w:cs="Times New Roman"/>
          <w:b/>
          <w:color w:val="auto"/>
          <w:sz w:val="48"/>
          <w:szCs w:val="48"/>
        </w:rPr>
        <w:t>20</w:t>
      </w:r>
      <w:r>
        <w:rPr>
          <w:rFonts w:hint="eastAsia" w:ascii="Times New Roman" w:hAnsi="Times New Roman" w:eastAsia="方正小标宋简体" w:cs="Times New Roman"/>
          <w:b/>
          <w:color w:val="auto"/>
          <w:sz w:val="48"/>
          <w:szCs w:val="48"/>
          <w:lang w:val="en-US" w:eastAsia="zh-CN"/>
        </w:rPr>
        <w:t>20政府</w:t>
      </w:r>
      <w:r>
        <w:rPr>
          <w:rFonts w:hint="default" w:ascii="Times New Roman" w:hAnsi="Times New Roman" w:eastAsia="方正小标宋简体" w:cs="Times New Roman"/>
          <w:b/>
          <w:color w:val="auto"/>
          <w:sz w:val="48"/>
          <w:szCs w:val="48"/>
        </w:rPr>
        <w:t>信息公开</w:t>
      </w:r>
      <w:r>
        <w:rPr>
          <w:rFonts w:hint="eastAsia" w:ascii="Times New Roman" w:hAnsi="Times New Roman" w:eastAsia="方正小标宋简体" w:cs="Times New Roman"/>
          <w:b/>
          <w:color w:val="auto"/>
          <w:sz w:val="48"/>
          <w:szCs w:val="48"/>
          <w:lang w:eastAsia="zh-CN"/>
        </w:rPr>
        <w:t>工作</w:t>
      </w:r>
    </w:p>
    <w:p>
      <w:pPr>
        <w:pStyle w:val="2"/>
        <w:widowControl/>
        <w:spacing w:beforeAutospacing="0" w:afterAutospacing="0" w:line="560" w:lineRule="exact"/>
        <w:jc w:val="center"/>
        <w:rPr>
          <w:rFonts w:hint="default" w:ascii="Times New Roman" w:hAnsi="Times New Roman" w:eastAsia="方正小标宋简体" w:cs="Times New Roman"/>
          <w:color w:val="auto"/>
          <w:sz w:val="48"/>
          <w:szCs w:val="48"/>
        </w:rPr>
      </w:pPr>
      <w:r>
        <w:rPr>
          <w:rFonts w:hint="default" w:ascii="Times New Roman" w:hAnsi="Times New Roman" w:eastAsia="方正小标宋简体" w:cs="Times New Roman"/>
          <w:b/>
          <w:color w:val="auto"/>
          <w:sz w:val="48"/>
          <w:szCs w:val="48"/>
        </w:rPr>
        <w:t>年度报告</w:t>
      </w:r>
    </w:p>
    <w:p>
      <w:pPr>
        <w:bidi w:val="0"/>
        <w:ind w:firstLine="640" w:firstLineChars="200"/>
        <w:rPr>
          <w:rFonts w:hint="default" w:ascii="仿宋_GB2312" w:hAnsi="微软雅黑" w:eastAsia="仿宋_GB2312" w:cs="仿宋_GB2312"/>
          <w:b w:val="0"/>
          <w:i w:val="0"/>
          <w:caps w:val="0"/>
          <w:color w:val="333333"/>
          <w:spacing w:val="0"/>
          <w:kern w:val="0"/>
          <w:sz w:val="32"/>
          <w:szCs w:val="32"/>
          <w:shd w:val="clear" w:fill="FFFFFF"/>
          <w:lang w:val="en-US" w:eastAsia="zh-CN" w:bidi="ar"/>
        </w:rPr>
      </w:pP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本报告依据《中华人民共和国政府信息公开条例》（国务院令第711号）和《国务院办公厅政府信息与政务公开办公室关于政府信息公开工作年度报告有关事项的通知》（国办公开办函〔2019〕60号）要求，由全椒县</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水利局</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编制。全文共包括：20</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20</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年度政府信息公开总体情况、主动公开政府信息情况、收到和处理政府信息公开申请情况、因政府信息公开被申请行政复议和提起行政诉讼情况、存在主要问题及改进情况和其他需要报告事项等六项内容。本报告的电子版可在全椒县人民政府网站（网址：http://www.quanjiao.gov.cn/）——政府信息公开年报栏目下载。如对本报告有任何疑问，请与全椒县</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水利局</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联系（地址：全椒县</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政务中心8</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号</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楼</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，电话：0550-50</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11471</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，邮编：239500）。</w:t>
      </w:r>
    </w:p>
    <w:p>
      <w:pPr>
        <w:numPr>
          <w:ilvl w:val="0"/>
          <w:numId w:val="0"/>
        </w:numPr>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一、</w:t>
      </w:r>
      <w:r>
        <w:rPr>
          <w:rFonts w:hint="eastAsia" w:ascii="黑体" w:hAnsi="黑体" w:eastAsia="黑体" w:cs="黑体"/>
          <w:b w:val="0"/>
          <w:bCs w:val="0"/>
          <w:color w:val="000000"/>
          <w:kern w:val="0"/>
          <w:sz w:val="32"/>
          <w:szCs w:val="32"/>
        </w:rPr>
        <w:t>总体情况</w:t>
      </w:r>
    </w:p>
    <w:p>
      <w:pPr>
        <w:numPr>
          <w:ilvl w:val="0"/>
          <w:numId w:val="0"/>
        </w:numPr>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val="en-US" w:eastAsia="zh-CN"/>
        </w:rPr>
        <w:t>2020</w:t>
      </w:r>
      <w:r>
        <w:rPr>
          <w:rFonts w:hint="eastAsia" w:ascii="仿宋" w:hAnsi="仿宋" w:eastAsia="仿宋" w:cs="仿宋"/>
          <w:b w:val="0"/>
          <w:bCs w:val="0"/>
          <w:color w:val="000000"/>
          <w:kern w:val="0"/>
          <w:sz w:val="32"/>
          <w:szCs w:val="32"/>
        </w:rPr>
        <w:t>年，我局在县委、县政府的正确领导下，全面贯彻落实《中华人民共和国政府信息公开条例》和《关于全面推进政务公开工作的意见》的要求，提升公开信息质量，加大重点领域信息公开，加强政府信息公开平台建设，保障人民群众的知情权、参与权、表达权和监督权，促进法治政府、创新政府、廉洁政府和服务型政府建设。</w:t>
      </w:r>
    </w:p>
    <w:p>
      <w:pPr>
        <w:numPr>
          <w:ilvl w:val="0"/>
          <w:numId w:val="0"/>
        </w:numPr>
        <w:ind w:firstLine="643" w:firstLineChars="200"/>
        <w:jc w:val="left"/>
        <w:rPr>
          <w:rFonts w:hint="default" w:ascii="仿宋" w:hAnsi="仿宋" w:eastAsia="仿宋" w:cs="仿宋"/>
          <w:b w:val="0"/>
          <w:bCs w:val="0"/>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（一）主动公开情况。</w:t>
      </w:r>
      <w:r>
        <w:rPr>
          <w:rFonts w:hint="eastAsia" w:ascii="仿宋" w:hAnsi="仿宋" w:eastAsia="仿宋" w:cs="仿宋"/>
          <w:b w:val="0"/>
          <w:bCs w:val="0"/>
          <w:color w:val="000000"/>
          <w:kern w:val="0"/>
          <w:sz w:val="32"/>
          <w:szCs w:val="32"/>
          <w:lang w:val="en-US" w:eastAsia="zh-CN" w:bidi="ar-SA"/>
        </w:rPr>
        <w:t>2020年我局主动发布政务公开信息217条。其中招标采购类36条，行政权力运行类48条，回应关切类19条，监督保障类23条、政策解读类11条、财政资金类18条。</w:t>
      </w:r>
    </w:p>
    <w:p>
      <w:pPr>
        <w:pStyle w:val="2"/>
        <w:keepNext w:val="0"/>
        <w:keepLines w:val="0"/>
        <w:widowControl/>
        <w:numPr>
          <w:ilvl w:val="0"/>
          <w:numId w:val="0"/>
        </w:numPr>
        <w:suppressLineNumbers w:val="0"/>
        <w:spacing w:before="0" w:beforeAutospacing="0" w:after="0" w:afterAutospacing="0"/>
        <w:ind w:right="0" w:rightChars="0" w:firstLine="643" w:firstLineChars="200"/>
        <w:jc w:val="both"/>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（二）依申请公开情况。</w:t>
      </w:r>
      <w:r>
        <w:rPr>
          <w:rFonts w:hint="eastAsia" w:ascii="仿宋" w:hAnsi="仿宋" w:eastAsia="仿宋" w:cs="仿宋"/>
          <w:b w:val="0"/>
          <w:bCs w:val="0"/>
          <w:color w:val="000000"/>
          <w:kern w:val="0"/>
          <w:sz w:val="32"/>
          <w:szCs w:val="32"/>
          <w:lang w:val="en-US" w:eastAsia="zh-CN" w:bidi="ar-SA"/>
        </w:rPr>
        <w:t>2020年，我局未收到政府信息公开申请事项。</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仿宋" w:hAnsi="仿宋" w:eastAsia="仿宋" w:cs="仿宋"/>
          <w:b/>
          <w:bCs/>
          <w:color w:val="000000"/>
          <w:kern w:val="0"/>
          <w:sz w:val="32"/>
          <w:szCs w:val="32"/>
          <w:lang w:val="en-US" w:eastAsia="zh-CN" w:bidi="ar-SA"/>
        </w:rPr>
        <w:t>（三）政府信息管理。</w:t>
      </w:r>
      <w:r>
        <w:rPr>
          <w:rFonts w:hint="eastAsia" w:ascii="Times New Roman" w:hAnsi="Times New Roman" w:eastAsia="仿宋_GB2312" w:cs="Times New Roman"/>
          <w:color w:val="auto"/>
          <w:sz w:val="32"/>
          <w:szCs w:val="32"/>
          <w:lang w:val="en-US" w:eastAsia="zh-CN"/>
        </w:rPr>
        <w:t>实行“谁主管、谁负责，谁公开、谁审查，先审查、后公开”审查制度，进一步加强管理。我局认真落实工作联络员制度和“两员合一”制度，通过明确责任主体，切实压实责任，在监督保障、回应关切、行政权力运行等领域发布政府信息80余条，展现了我局防汛抗旱、水利工程建设、水政执法、水资源管理等重点工作开展情况。</w:t>
      </w:r>
    </w:p>
    <w:p>
      <w:pPr>
        <w:pStyle w:val="2"/>
        <w:keepNext w:val="0"/>
        <w:keepLines w:val="0"/>
        <w:widowControl/>
        <w:suppressLineNumbers w:val="0"/>
        <w:spacing w:before="0" w:beforeAutospacing="0" w:after="0" w:afterAutospacing="0"/>
        <w:ind w:right="0" w:firstLine="643" w:firstLineChars="200"/>
        <w:jc w:val="both"/>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（四）平台建设。</w:t>
      </w:r>
      <w:r>
        <w:rPr>
          <w:rFonts w:hint="default" w:ascii="仿宋_GB2312" w:hAnsi="微软雅黑" w:eastAsia="仿宋_GB2312" w:cs="仿宋_GB2312"/>
          <w:b w:val="0"/>
          <w:i w:val="0"/>
          <w:caps w:val="0"/>
          <w:color w:val="333333"/>
          <w:spacing w:val="0"/>
          <w:kern w:val="0"/>
          <w:sz w:val="32"/>
          <w:szCs w:val="32"/>
          <w:shd w:val="clear" w:fill="FFFFFF"/>
          <w:lang w:val="en-US" w:eastAsia="zh-CN" w:bidi="ar"/>
        </w:rPr>
        <w:t>一是进一步完善政府信息公开平台建设，对政府信息公开栏目逐步优化</w:t>
      </w:r>
      <w:r>
        <w:rPr>
          <w:rFonts w:hint="eastAsia" w:ascii="仿宋_GB2312" w:hAnsi="微软雅黑" w:eastAsia="仿宋_GB2312" w:cs="仿宋_GB2312"/>
          <w:b w:val="0"/>
          <w:i w:val="0"/>
          <w:caps w:val="0"/>
          <w:color w:val="333333"/>
          <w:spacing w:val="0"/>
          <w:kern w:val="0"/>
          <w:sz w:val="32"/>
          <w:szCs w:val="32"/>
          <w:shd w:val="clear" w:fill="FFFFFF"/>
          <w:lang w:val="en-US" w:eastAsia="zh-CN" w:bidi="ar"/>
        </w:rPr>
        <w:t>。二是</w:t>
      </w:r>
      <w:r>
        <w:rPr>
          <w:rFonts w:hint="eastAsia" w:ascii="仿宋_GB2312" w:hAnsi="仿宋_GB2312" w:eastAsia="仿宋_GB2312" w:cs="仿宋_GB2312"/>
          <w:sz w:val="32"/>
          <w:szCs w:val="32"/>
          <w:lang w:val="en-US" w:eastAsia="zh-CN"/>
        </w:rPr>
        <w:t>调整平台目录，完成数据迁移工作。</w:t>
      </w:r>
    </w:p>
    <w:p>
      <w:pPr>
        <w:numPr>
          <w:ilvl w:val="0"/>
          <w:numId w:val="0"/>
        </w:numPr>
        <w:ind w:firstLine="643" w:firstLineChars="200"/>
        <w:rPr>
          <w:rFonts w:hint="eastAsia" w:ascii="仿宋_GB2312" w:hAnsi="仿宋_GB2312" w:eastAsia="仿宋_GB2312" w:cs="仿宋_GB2312"/>
          <w:sz w:val="32"/>
          <w:szCs w:val="32"/>
        </w:rPr>
      </w:pPr>
      <w:r>
        <w:rPr>
          <w:rFonts w:hint="eastAsia" w:ascii="仿宋" w:hAnsi="仿宋" w:eastAsia="仿宋" w:cs="仿宋"/>
          <w:b/>
          <w:bCs/>
          <w:color w:val="000000"/>
          <w:kern w:val="0"/>
          <w:sz w:val="32"/>
          <w:szCs w:val="32"/>
          <w:lang w:val="en-US" w:eastAsia="zh-CN" w:bidi="ar-SA"/>
        </w:rPr>
        <w:t>（五）贯彻落实新条例。</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val="en-US" w:eastAsia="zh-CN"/>
        </w:rPr>
        <w:t>利用机关LED电子屏播放宣传标语10余条，提高公众知晓度和参与度。二是</w:t>
      </w:r>
      <w:r>
        <w:rPr>
          <w:rFonts w:hint="eastAsia" w:ascii="仿宋_GB2312" w:hAnsi="仿宋_GB2312" w:eastAsia="仿宋_GB2312" w:cs="仿宋_GB2312"/>
          <w:sz w:val="32"/>
          <w:szCs w:val="32"/>
        </w:rPr>
        <w:t>张贴微信二维码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供多名群众扫码阅知。三是通过微信群分享营造宣传学习氛围。四是在政府网站发布新条例内容及解读，及时更新各项工作动态。</w:t>
      </w:r>
    </w:p>
    <w:p>
      <w:pPr>
        <w:pStyle w:val="2"/>
        <w:keepNext w:val="0"/>
        <w:keepLines w:val="0"/>
        <w:widowControl/>
        <w:suppressLineNumbers w:val="0"/>
        <w:spacing w:before="0" w:beforeAutospacing="0" w:after="0" w:afterAutospacing="0"/>
        <w:ind w:right="0" w:firstLine="643" w:firstLineChars="200"/>
        <w:jc w:val="both"/>
        <w:rPr>
          <w:rFonts w:hint="eastAsia" w:ascii="Times New Roman" w:hAnsi="Times New Roman" w:eastAsia="仿宋_GB2312" w:cs="Times New Roman"/>
          <w:color w:val="auto"/>
          <w:sz w:val="32"/>
          <w:szCs w:val="32"/>
          <w:lang w:eastAsia="zh-CN"/>
        </w:rPr>
      </w:pPr>
      <w:r>
        <w:rPr>
          <w:rFonts w:hint="eastAsia" w:ascii="仿宋" w:hAnsi="仿宋" w:eastAsia="仿宋" w:cs="仿宋"/>
          <w:b/>
          <w:bCs/>
          <w:color w:val="000000"/>
          <w:kern w:val="0"/>
          <w:sz w:val="32"/>
          <w:szCs w:val="32"/>
          <w:lang w:val="en-US" w:eastAsia="zh-CN" w:bidi="ar-SA"/>
        </w:rPr>
        <w:t>（六）监督保障。</w:t>
      </w:r>
      <w:r>
        <w:rPr>
          <w:rFonts w:hint="eastAsia" w:ascii="Times New Roman" w:hAnsi="Times New Roman" w:eastAsia="仿宋_GB2312" w:cs="Times New Roman"/>
          <w:color w:val="auto"/>
          <w:sz w:val="32"/>
          <w:szCs w:val="32"/>
          <w:lang w:val="en-US" w:eastAsia="zh-CN"/>
        </w:rPr>
        <w:t>制定</w:t>
      </w:r>
      <w:r>
        <w:rPr>
          <w:rFonts w:hint="default" w:ascii="Times New Roman" w:hAnsi="Times New Roman" w:eastAsia="仿宋_GB2312" w:cs="Times New Roman"/>
          <w:color w:val="auto"/>
          <w:sz w:val="32"/>
          <w:szCs w:val="32"/>
          <w:lang w:val="en-US" w:eastAsia="zh-CN"/>
        </w:rPr>
        <w:t>政务公开信息发布“三审”制度，严格执行信息员初审、办公室主任复审、分管局长终审，确保稿件质量，保证新闻信息顺利发布。</w:t>
      </w:r>
      <w:r>
        <w:rPr>
          <w:rFonts w:hint="eastAsia" w:ascii="Times New Roman" w:hAnsi="Times New Roman" w:eastAsia="仿宋_GB2312" w:cs="Times New Roman"/>
          <w:color w:val="auto"/>
          <w:sz w:val="32"/>
          <w:szCs w:val="32"/>
          <w:lang w:val="en-US" w:eastAsia="zh-CN"/>
        </w:rPr>
        <w:t>对信息发布中</w:t>
      </w:r>
      <w:r>
        <w:rPr>
          <w:rFonts w:hint="default" w:ascii="Times New Roman" w:hAnsi="Times New Roman" w:eastAsia="仿宋_GB2312" w:cs="Times New Roman"/>
          <w:color w:val="auto"/>
          <w:sz w:val="32"/>
          <w:szCs w:val="32"/>
        </w:rPr>
        <w:t>涉及政治方面专有名词表述、涉及侵害相关群众隐私保护等方面</w:t>
      </w:r>
      <w:r>
        <w:rPr>
          <w:rFonts w:hint="eastAsia" w:ascii="Times New Roman" w:hAnsi="Times New Roman" w:eastAsia="仿宋_GB2312" w:cs="Times New Roman"/>
          <w:color w:val="auto"/>
          <w:sz w:val="32"/>
          <w:szCs w:val="32"/>
          <w:lang w:eastAsia="zh-CN"/>
        </w:rPr>
        <w:t>认真自查，整改。</w:t>
      </w:r>
    </w:p>
    <w:p>
      <w:pPr>
        <w:pStyle w:val="2"/>
        <w:keepNext w:val="0"/>
        <w:keepLines w:val="0"/>
        <w:widowControl/>
        <w:suppressLineNumbers w:val="0"/>
        <w:spacing w:before="0" w:beforeAutospacing="0" w:after="0" w:afterAutospacing="0"/>
        <w:ind w:right="0" w:firstLine="643" w:firstLineChars="200"/>
        <w:jc w:val="both"/>
        <w:rPr>
          <w:rFonts w:hint="default" w:ascii="仿宋" w:hAnsi="仿宋" w:eastAsia="仿宋" w:cs="仿宋"/>
          <w:b w:val="0"/>
          <w:bCs w:val="0"/>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(七)创新举措。</w:t>
      </w:r>
      <w:r>
        <w:rPr>
          <w:rFonts w:hint="eastAsia" w:ascii="仿宋" w:hAnsi="仿宋" w:eastAsia="仿宋" w:cs="仿宋"/>
          <w:b w:val="0"/>
          <w:bCs w:val="0"/>
          <w:color w:val="000000"/>
          <w:kern w:val="0"/>
          <w:sz w:val="32"/>
          <w:szCs w:val="32"/>
          <w:lang w:val="en-US" w:eastAsia="zh-CN" w:bidi="ar-SA"/>
        </w:rPr>
        <w:t>根据县政务公开办要求不断调整优化公开栏目和内容。持以标准化、规范化建设为抓手，依据权力清单、责任清单及公共服务事项清单，结合政府机构改革和职能优化，及时进行动态更新调整，使政务公开的范围和边界更加清晰、程序更加规范，不断提升政务公开的精准性和实效性。</w:t>
      </w:r>
      <w:bookmarkStart w:id="0" w:name="_GoBack"/>
      <w:bookmarkEnd w:id="0"/>
    </w:p>
    <w:p>
      <w:pPr>
        <w:widowControl/>
        <w:rPr>
          <w:rFonts w:hint="eastAsia" w:ascii="宋体" w:hAnsi="宋体" w:eastAsia="宋体" w:cs="宋体"/>
          <w:color w:val="000000"/>
          <w:kern w:val="0"/>
          <w:sz w:val="24"/>
          <w:szCs w:val="24"/>
        </w:rPr>
      </w:pPr>
      <w:r>
        <w:rPr>
          <w:rFonts w:hint="eastAsia" w:ascii="黑体" w:hAnsi="黑体" w:eastAsia="黑体" w:cs="黑体"/>
          <w:b w:val="0"/>
          <w:bCs w:val="0"/>
          <w:color w:val="000000"/>
          <w:kern w:val="0"/>
          <w:sz w:val="32"/>
          <w:szCs w:val="32"/>
          <w:lang w:eastAsia="zh-CN"/>
        </w:rPr>
        <w:t>二、主动公开政府信息情况</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br w:type="textWrapping"/>
      </w:r>
    </w:p>
    <w:tbl>
      <w:tblPr>
        <w:tblStyle w:val="3"/>
        <w:tblW w:w="8140" w:type="dxa"/>
        <w:jc w:val="center"/>
        <w:tblLayout w:type="autofit"/>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35</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+74</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101</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23</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19356742.92</w:t>
            </w:r>
          </w:p>
        </w:tc>
      </w:tr>
    </w:tbl>
    <w:p>
      <w:pPr>
        <w:widowControl/>
        <w:rPr>
          <w:rFonts w:hint="eastAsia" w:ascii="宋体" w:hAnsi="宋体" w:eastAsia="宋体" w:cs="宋体"/>
          <w:color w:val="000000"/>
          <w:kern w:val="0"/>
          <w:sz w:val="24"/>
          <w:szCs w:val="24"/>
        </w:rPr>
      </w:pPr>
      <w:r>
        <w:rPr>
          <w:rFonts w:hint="eastAsia" w:ascii="黑体" w:hAnsi="黑体" w:eastAsia="黑体" w:cs="黑体"/>
          <w:b w:val="0"/>
          <w:bCs w:val="0"/>
          <w:color w:val="000000"/>
          <w:kern w:val="0"/>
          <w:sz w:val="32"/>
          <w:szCs w:val="32"/>
          <w:lang w:eastAsia="zh-CN"/>
        </w:rPr>
        <w:t>三、收到和处理政府信息公开申请情况</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br w:type="textWrapping"/>
      </w:r>
    </w:p>
    <w:tbl>
      <w:tblPr>
        <w:tblStyle w:val="3"/>
        <w:tblW w:w="9071" w:type="dxa"/>
        <w:jc w:val="center"/>
        <w:tblLayout w:type="autofit"/>
        <w:tblCellMar>
          <w:top w:w="15" w:type="dxa"/>
          <w:left w:w="15" w:type="dxa"/>
          <w:bottom w:w="15" w:type="dxa"/>
          <w:right w:w="15" w:type="dxa"/>
        </w:tblCellMar>
      </w:tblPr>
      <w:tblGrid>
        <w:gridCol w:w="616"/>
        <w:gridCol w:w="854"/>
        <w:gridCol w:w="2083"/>
        <w:gridCol w:w="814"/>
        <w:gridCol w:w="755"/>
        <w:gridCol w:w="755"/>
        <w:gridCol w:w="814"/>
        <w:gridCol w:w="974"/>
        <w:gridCol w:w="712"/>
        <w:gridCol w:w="694"/>
      </w:tblGrid>
      <w:tr>
        <w:tblPrEx>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Calibri" w:hAnsi="Calibri" w:eastAsia="宋体" w:cs="Calibri"/>
                <w:color w:val="000000"/>
                <w:kern w:val="0"/>
                <w:sz w:val="20"/>
                <w:szCs w:val="20"/>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p>
            <w:pPr>
              <w:widowControl/>
              <w:jc w:val="left"/>
              <w:rPr>
                <w:rFonts w:ascii="Calibri" w:hAnsi="Calibri" w:eastAsia="宋体" w:cs="Calibri"/>
                <w:color w:val="000000"/>
                <w:kern w:val="0"/>
                <w:sz w:val="20"/>
                <w:szCs w:val="20"/>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p>
            <w:pPr>
              <w:widowControl/>
              <w:jc w:val="left"/>
              <w:rPr>
                <w:rFonts w:ascii="Calibri" w:hAnsi="Calibri" w:eastAsia="宋体" w:cs="Calibri"/>
                <w:color w:val="000000"/>
                <w:kern w:val="0"/>
                <w:sz w:val="20"/>
                <w:szCs w:val="20"/>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p>
            <w:pPr>
              <w:widowControl/>
              <w:jc w:val="left"/>
              <w:rPr>
                <w:rFonts w:ascii="Calibri" w:hAnsi="Calibri" w:eastAsia="宋体" w:cs="Calibri"/>
                <w:color w:val="000000"/>
                <w:kern w:val="0"/>
                <w:sz w:val="20"/>
                <w:szCs w:val="20"/>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p>
            <w:pPr>
              <w:widowControl/>
              <w:jc w:val="left"/>
              <w:rPr>
                <w:rFonts w:ascii="Calibri" w:hAnsi="Calibri" w:eastAsia="宋体" w:cs="Calibri"/>
                <w:color w:val="000000"/>
                <w:kern w:val="0"/>
                <w:sz w:val="20"/>
                <w:szCs w:val="20"/>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p>
            <w:pPr>
              <w:widowControl/>
              <w:jc w:val="left"/>
              <w:rPr>
                <w:rFonts w:ascii="Calibri" w:hAnsi="Calibri" w:eastAsia="宋体" w:cs="Calibri"/>
                <w:color w:val="000000"/>
                <w:kern w:val="0"/>
                <w:sz w:val="20"/>
                <w:szCs w:val="20"/>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p>
            <w:pPr>
              <w:widowControl/>
              <w:jc w:val="left"/>
              <w:rPr>
                <w:rFonts w:ascii="Calibri" w:hAnsi="Calibri" w:eastAsia="宋体" w:cs="Calibri"/>
                <w:color w:val="000000"/>
                <w:kern w:val="0"/>
                <w:sz w:val="20"/>
                <w:szCs w:val="20"/>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p>
            <w:pPr>
              <w:widowControl/>
              <w:jc w:val="left"/>
              <w:rPr>
                <w:rFonts w:ascii="Calibri" w:hAnsi="Calibri" w:eastAsia="宋体" w:cs="Calibri"/>
                <w:color w:val="000000"/>
                <w:kern w:val="0"/>
                <w:sz w:val="20"/>
                <w:szCs w:val="20"/>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p>
        </w:tc>
      </w:tr>
    </w:tbl>
    <w:p>
      <w:pPr>
        <w:widowControl/>
        <w:rPr>
          <w:rFonts w:hint="eastAsia" w:ascii="黑体" w:hAnsi="黑体" w:eastAsia="黑体" w:cs="黑体"/>
          <w:b w:val="0"/>
          <w:bCs w:val="0"/>
          <w:color w:val="000000"/>
          <w:kern w:val="0"/>
          <w:sz w:val="32"/>
          <w:szCs w:val="32"/>
          <w:lang w:eastAsia="zh-CN"/>
        </w:rPr>
      </w:pPr>
    </w:p>
    <w:p>
      <w:pPr>
        <w:widowControl/>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四、政府信息公开行政复议、行政诉讼情况</w:t>
      </w:r>
    </w:p>
    <w:p>
      <w:pPr>
        <w:widowControl/>
        <w:ind w:firstLine="480"/>
        <w:rPr>
          <w:rFonts w:hint="eastAsia" w:ascii="宋体" w:hAnsi="宋体" w:eastAsia="宋体" w:cs="宋体"/>
          <w:color w:val="000000"/>
          <w:kern w:val="0"/>
          <w:sz w:val="24"/>
          <w:szCs w:val="24"/>
        </w:rPr>
      </w:pPr>
    </w:p>
    <w:tbl>
      <w:tblPr>
        <w:tblStyle w:val="3"/>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r>
    </w:tbl>
    <w:p>
      <w:pPr>
        <w:widowControl/>
        <w:numPr>
          <w:ilvl w:val="0"/>
          <w:numId w:val="0"/>
        </w:numPr>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eastAsia="zh-CN"/>
        </w:rPr>
        <w:t>五、</w:t>
      </w:r>
      <w:r>
        <w:rPr>
          <w:rFonts w:hint="eastAsia" w:ascii="黑体" w:hAnsi="黑体" w:eastAsia="黑体" w:cs="黑体"/>
          <w:b w:val="0"/>
          <w:bCs w:val="0"/>
          <w:color w:val="000000"/>
          <w:kern w:val="0"/>
          <w:sz w:val="32"/>
          <w:szCs w:val="32"/>
        </w:rPr>
        <w:t>存在的主要问题及改进情况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当前，我局政务公开工作存在的困难和问题是：一是受机构职能所限，可面向群众公开的政务信息较少。二是对进一步提升政务公开工作水平的研究还不够，特别是对《中华人民共和国政府信息公开条例》的学习贯彻需加深。三是做好政务公开工作的主动性需加强，主动公开信息的时效性需进一步提升。对此，我局将从三方面加以改进。</w:t>
      </w:r>
    </w:p>
    <w:p>
      <w:pPr>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一）持续深化学习，提升业务能力。认真学习《中华人民共和国政府信息公开条例》等政务信息公开业务知识。严格按照新条例、新办法要求，强化主动公开意识，及时准确公开政府信息，不断提升政府信息公开工作水平。</w:t>
      </w:r>
    </w:p>
    <w:p>
      <w:pPr>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（二）健全完善制度，规范办理流程。以推进政务公开标准化、规范化为目标，进一步细化完善各项制度，规范办理流程，落实各环节责任，确保工作高质高效。</w:t>
      </w:r>
    </w:p>
    <w:p>
      <w:pPr>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（三）加强日常管理，公开及时高效。认真做好常态化管理，及时发布政务信息。健全政务公开工作机制，将信息公开工作更好地融入日常业务工作，确保政务信息及时、准确、规范的对外公开。</w:t>
      </w:r>
    </w:p>
    <w:p>
      <w:pPr>
        <w:ind w:firstLine="640" w:firstLineChars="200"/>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六、其他需要报告的事项</w:t>
      </w:r>
    </w:p>
    <w:p>
      <w:pPr>
        <w:ind w:firstLine="640" w:firstLineChars="200"/>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无</w:t>
      </w:r>
    </w:p>
    <w:p>
      <w:pPr>
        <w:widowControl/>
        <w:ind w:firstLine="480"/>
        <w:rPr>
          <w:rFonts w:hint="eastAsia" w:ascii="仿宋" w:hAnsi="仿宋" w:eastAsia="仿宋" w:cs="仿宋"/>
          <w:b/>
          <w:bCs/>
          <w:color w:val="000000"/>
          <w:kern w:val="0"/>
          <w:sz w:val="32"/>
          <w:szCs w:val="32"/>
        </w:rPr>
      </w:pPr>
    </w:p>
    <w:p>
      <w:pPr>
        <w:numPr>
          <w:ilvl w:val="0"/>
          <w:numId w:val="0"/>
        </w:numPr>
        <w:ind w:firstLine="640" w:firstLineChars="200"/>
        <w:jc w:val="left"/>
        <w:rPr>
          <w:rFonts w:hint="eastAsia" w:ascii="仿宋" w:hAnsi="仿宋" w:eastAsia="仿宋" w:cs="仿宋"/>
          <w:b w:val="0"/>
          <w:bCs w:val="0"/>
          <w:color w:val="000000"/>
          <w:kern w:val="0"/>
          <w:sz w:val="32"/>
          <w:szCs w:val="32"/>
        </w:rPr>
      </w:pPr>
    </w:p>
    <w:p>
      <w:pPr>
        <w:numPr>
          <w:ilvl w:val="0"/>
          <w:numId w:val="0"/>
        </w:numPr>
        <w:ind w:firstLine="640" w:firstLineChars="200"/>
        <w:jc w:val="left"/>
        <w:rPr>
          <w:rFonts w:hint="eastAsia" w:ascii="仿宋" w:hAnsi="仿宋" w:eastAsia="仿宋" w:cs="仿宋"/>
          <w:b w:val="0"/>
          <w:bCs w:val="0"/>
          <w:color w:val="000000"/>
          <w:kern w:val="0"/>
          <w:sz w:val="32"/>
          <w:szCs w:val="32"/>
        </w:rPr>
      </w:pPr>
    </w:p>
    <w:p>
      <w:pPr>
        <w:numPr>
          <w:ilvl w:val="0"/>
          <w:numId w:val="0"/>
        </w:numPr>
        <w:ind w:firstLine="640" w:firstLineChars="200"/>
        <w:jc w:val="left"/>
        <w:rPr>
          <w:rFonts w:hint="eastAsia" w:ascii="仿宋" w:hAnsi="仿宋" w:eastAsia="仿宋" w:cs="仿宋"/>
          <w:b w:val="0"/>
          <w:bCs w:val="0"/>
          <w:color w:val="000000"/>
          <w:kern w:val="0"/>
          <w:sz w:val="32"/>
          <w:szCs w:val="32"/>
        </w:rPr>
      </w:pPr>
    </w:p>
    <w:p>
      <w:pPr>
        <w:numPr>
          <w:ilvl w:val="0"/>
          <w:numId w:val="0"/>
        </w:numPr>
        <w:ind w:firstLine="640" w:firstLineChars="200"/>
        <w:jc w:val="right"/>
        <w:rPr>
          <w:rFonts w:hint="default"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2021年1月19日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D4E9F"/>
    <w:rsid w:val="184F3A9A"/>
    <w:rsid w:val="18A016A1"/>
    <w:rsid w:val="44C064A2"/>
    <w:rsid w:val="45BA2A88"/>
    <w:rsid w:val="47EF518B"/>
    <w:rsid w:val="49970354"/>
    <w:rsid w:val="5C576C0F"/>
    <w:rsid w:val="6756713F"/>
    <w:rsid w:val="75DD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2021-01-19T01:43:00Z</dcterms:created>
  <dc:creator>晶</dc:creator>
  <cp:lastModifiedBy>晶</cp:lastModifiedBy>
  <cp:lastPrinted>2021-01-20T02:09:00Z</cp:lastPrinted>
  <dcterms:modified xsi:type="dcterms:W3CDTF">2021-01-28T02:44:49Z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