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63" w:rsidRPr="005B7463" w:rsidRDefault="005B7463" w:rsidP="005B7463">
      <w:pPr>
        <w:widowControl/>
        <w:shd w:val="clear" w:color="auto" w:fill="FFFFFF"/>
        <w:wordWrap w:val="0"/>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 </w:t>
      </w:r>
    </w:p>
    <w:p w:rsidR="005B7463" w:rsidRPr="005B7463" w:rsidRDefault="005B7463" w:rsidP="005B7463">
      <w:pPr>
        <w:widowControl/>
        <w:shd w:val="clear" w:color="auto" w:fill="FFFFFF"/>
        <w:wordWrap w:val="0"/>
        <w:ind w:firstLine="480"/>
        <w:rPr>
          <w:rFonts w:ascii="Times New Roman" w:eastAsia="宋体" w:hAnsi="Times New Roman" w:cs="Times New Roman"/>
          <w:kern w:val="0"/>
          <w:szCs w:val="21"/>
        </w:rPr>
      </w:pPr>
      <w:r w:rsidRPr="005B7463">
        <w:rPr>
          <w:rFonts w:ascii="宋体" w:eastAsia="宋体" w:hAnsi="宋体" w:cs="Times New Roman" w:hint="eastAsia"/>
          <w:kern w:val="0"/>
          <w:sz w:val="24"/>
        </w:rPr>
        <w:t>附件1</w:t>
      </w:r>
    </w:p>
    <w:p w:rsidR="005B7463" w:rsidRPr="005B7463" w:rsidRDefault="005B7463" w:rsidP="005B7463">
      <w:pPr>
        <w:widowControl/>
        <w:shd w:val="clear" w:color="auto" w:fill="FFFFFF"/>
        <w:wordWrap w:val="0"/>
        <w:jc w:val="center"/>
        <w:rPr>
          <w:rFonts w:ascii="Times New Roman" w:eastAsia="宋体" w:hAnsi="Times New Roman" w:cs="Times New Roman"/>
          <w:kern w:val="0"/>
          <w:szCs w:val="21"/>
        </w:rPr>
      </w:pPr>
      <w:bookmarkStart w:id="0" w:name="_GoBack"/>
      <w:r w:rsidRPr="005B7463">
        <w:rPr>
          <w:rFonts w:ascii="宋体" w:eastAsia="宋体" w:hAnsi="宋体" w:cs="Times New Roman" w:hint="eastAsia"/>
          <w:b/>
          <w:bCs/>
          <w:kern w:val="0"/>
          <w:sz w:val="36"/>
          <w:szCs w:val="36"/>
        </w:rPr>
        <w:t>安徽省县域学前教育普及普惠督导评估指标体系</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96"/>
        <w:gridCol w:w="2445"/>
        <w:gridCol w:w="4385"/>
      </w:tblGrid>
      <w:tr w:rsidR="005B7463" w:rsidRPr="005B7463" w:rsidTr="005B7463">
        <w:tc>
          <w:tcPr>
            <w:tcW w:w="4515"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bookmarkEnd w:id="0"/>
          <w:p w:rsidR="005B7463" w:rsidRPr="005B7463" w:rsidRDefault="005B7463" w:rsidP="005B7463">
            <w:pPr>
              <w:widowControl/>
              <w:spacing w:line="420" w:lineRule="atLeast"/>
              <w:ind w:firstLine="480"/>
              <w:jc w:val="center"/>
              <w:textAlignment w:val="center"/>
              <w:rPr>
                <w:rFonts w:ascii="Times New Roman" w:eastAsia="宋体" w:hAnsi="Times New Roman" w:cs="Times New Roman"/>
                <w:kern w:val="0"/>
                <w:szCs w:val="21"/>
              </w:rPr>
            </w:pPr>
            <w:r w:rsidRPr="005B7463">
              <w:rPr>
                <w:rFonts w:ascii="宋体" w:eastAsia="宋体" w:hAnsi="宋体" w:cs="Times New Roman" w:hint="eastAsia"/>
                <w:b/>
                <w:bCs/>
                <w:kern w:val="0"/>
                <w:sz w:val="28"/>
                <w:szCs w:val="28"/>
              </w:rPr>
              <w:t>督导评估指标</w:t>
            </w:r>
          </w:p>
        </w:tc>
        <w:tc>
          <w:tcPr>
            <w:tcW w:w="4993" w:type="dxa"/>
            <w:vMerge w:val="restart"/>
            <w:tcBorders>
              <w:top w:val="single" w:sz="8" w:space="0" w:color="auto"/>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center"/>
              <w:textAlignment w:val="center"/>
              <w:rPr>
                <w:rFonts w:ascii="Times New Roman" w:eastAsia="宋体" w:hAnsi="Times New Roman" w:cs="Times New Roman"/>
                <w:kern w:val="0"/>
                <w:szCs w:val="21"/>
              </w:rPr>
            </w:pPr>
            <w:r w:rsidRPr="005B7463">
              <w:rPr>
                <w:rFonts w:ascii="宋体" w:eastAsia="宋体" w:hAnsi="宋体" w:cs="Times New Roman" w:hint="eastAsia"/>
                <w:b/>
                <w:bCs/>
                <w:kern w:val="0"/>
                <w:sz w:val="28"/>
                <w:szCs w:val="28"/>
              </w:rPr>
              <w:t>督导评估要点</w:t>
            </w:r>
          </w:p>
        </w:tc>
      </w:tr>
      <w:tr w:rsidR="005B7463" w:rsidRPr="005B7463" w:rsidTr="005B7463">
        <w:tc>
          <w:tcPr>
            <w:tcW w:w="1710" w:type="dxa"/>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center"/>
              <w:textAlignment w:val="center"/>
              <w:rPr>
                <w:rFonts w:ascii="Times New Roman" w:eastAsia="宋体" w:hAnsi="Times New Roman" w:cs="Times New Roman"/>
                <w:kern w:val="0"/>
                <w:szCs w:val="21"/>
              </w:rPr>
            </w:pPr>
            <w:r w:rsidRPr="005B7463">
              <w:rPr>
                <w:rFonts w:ascii="宋体" w:eastAsia="宋体" w:hAnsi="宋体" w:cs="Times New Roman" w:hint="eastAsia"/>
                <w:b/>
                <w:bCs/>
                <w:kern w:val="0"/>
                <w:sz w:val="28"/>
                <w:szCs w:val="28"/>
              </w:rPr>
              <w:t>一级指标</w:t>
            </w:r>
          </w:p>
        </w:tc>
        <w:tc>
          <w:tcPr>
            <w:tcW w:w="2805"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left="320" w:hanging="320"/>
              <w:jc w:val="center"/>
              <w:textAlignment w:val="center"/>
              <w:rPr>
                <w:rFonts w:ascii="Times New Roman" w:eastAsia="宋体" w:hAnsi="Times New Roman" w:cs="Times New Roman"/>
                <w:kern w:val="0"/>
                <w:szCs w:val="21"/>
              </w:rPr>
            </w:pPr>
            <w:r w:rsidRPr="005B7463">
              <w:rPr>
                <w:rFonts w:ascii="宋体" w:eastAsia="宋体" w:hAnsi="宋体" w:cs="Times New Roman" w:hint="eastAsia"/>
                <w:b/>
                <w:bCs/>
                <w:kern w:val="0"/>
                <w:sz w:val="28"/>
                <w:szCs w:val="28"/>
              </w:rPr>
              <w:t>二级指标</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r>
      <w:tr w:rsidR="005B7463" w:rsidRPr="005B7463" w:rsidTr="005B7463">
        <w:tc>
          <w:tcPr>
            <w:tcW w:w="1710" w:type="dxa"/>
            <w:vMerge w:val="restart"/>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b/>
                <w:bCs/>
                <w:kern w:val="0"/>
                <w:sz w:val="28"/>
                <w:szCs w:val="28"/>
              </w:rPr>
              <w:t>1.普及普惠水平</w:t>
            </w:r>
          </w:p>
        </w:tc>
        <w:tc>
          <w:tcPr>
            <w:tcW w:w="2805"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1.学前三年毛入园率达到90%</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1.学前三年毛入园率达到90%</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2.普惠性幼儿园覆盖率达到80%</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2.普惠性幼儿园覆盖率达到80%</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3.公办园在园幼儿占比达到50%</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3.公办园在园幼儿占比达到50%</w:t>
            </w:r>
          </w:p>
        </w:tc>
      </w:tr>
      <w:tr w:rsidR="005B7463" w:rsidRPr="005B7463" w:rsidTr="005B7463">
        <w:tc>
          <w:tcPr>
            <w:tcW w:w="1710" w:type="dxa"/>
            <w:vMerge w:val="restart"/>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b/>
                <w:bCs/>
                <w:kern w:val="0"/>
                <w:sz w:val="28"/>
                <w:szCs w:val="28"/>
              </w:rPr>
              <w:t>2.政府保障情况</w:t>
            </w: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4.党的领导坚强有力</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4.县委县政府加强对学前教育事业的领导</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5.幼儿园党的组织和党的工作实现全覆盖</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5.发展规划科学合理</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6.制定幼儿园布局规划</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7.把普惠性幼儿园建设纳入城乡公共管理和公共服务设施统一规划，列入本地区控制性详细规划</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6.学前教育公共服务网络基本</w:t>
            </w:r>
            <w:proofErr w:type="gramStart"/>
            <w:r w:rsidRPr="005B7463">
              <w:rPr>
                <w:rFonts w:ascii="宋体" w:eastAsia="宋体" w:hAnsi="宋体" w:cs="Times New Roman" w:hint="eastAsia"/>
                <w:kern w:val="0"/>
                <w:sz w:val="28"/>
                <w:szCs w:val="28"/>
              </w:rPr>
              <w:t xml:space="preserve">完善　</w:t>
            </w:r>
            <w:proofErr w:type="gramEnd"/>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8.农村地区每个乡镇原则上至少有一所公办中心园，大</w:t>
            </w:r>
            <w:proofErr w:type="gramStart"/>
            <w:r w:rsidRPr="005B7463">
              <w:rPr>
                <w:rFonts w:ascii="宋体" w:eastAsia="宋体" w:hAnsi="宋体" w:cs="Times New Roman" w:hint="eastAsia"/>
                <w:kern w:val="0"/>
                <w:sz w:val="28"/>
                <w:szCs w:val="28"/>
              </w:rPr>
              <w:t>村独立</w:t>
            </w:r>
            <w:proofErr w:type="gramEnd"/>
            <w:r w:rsidRPr="005B7463">
              <w:rPr>
                <w:rFonts w:ascii="宋体" w:eastAsia="宋体" w:hAnsi="宋体" w:cs="Times New Roman" w:hint="eastAsia"/>
                <w:kern w:val="0"/>
                <w:sz w:val="28"/>
                <w:szCs w:val="28"/>
              </w:rPr>
              <w:t>建园或设分园，小村联合办园，人口分散</w:t>
            </w:r>
            <w:r w:rsidRPr="005B7463">
              <w:rPr>
                <w:rFonts w:ascii="宋体" w:eastAsia="宋体" w:hAnsi="宋体" w:cs="Times New Roman" w:hint="eastAsia"/>
                <w:kern w:val="0"/>
                <w:sz w:val="28"/>
                <w:szCs w:val="28"/>
              </w:rPr>
              <w:lastRenderedPageBreak/>
              <w:t>地区根据实际情况举办流动幼儿园、季节班等</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7.小区配套幼儿园管理规范</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9.落实省定小区配套幼儿园建设管理办法，小区配套幼儿园与首期建设的居民住宅区同步规划、同步设计、同步建设、同步验收、同步交付使用</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10.现有小区配套幼儿园由当地政府统筹安排办成公办园或委托办成普惠性民办园，且运转良好。</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8.财政投入到位</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11.落实省定公办园生</w:t>
            </w:r>
            <w:proofErr w:type="gramStart"/>
            <w:r w:rsidRPr="005B7463">
              <w:rPr>
                <w:rFonts w:ascii="宋体" w:eastAsia="宋体" w:hAnsi="宋体" w:cs="Times New Roman" w:hint="eastAsia"/>
                <w:kern w:val="0"/>
                <w:sz w:val="28"/>
                <w:szCs w:val="28"/>
              </w:rPr>
              <w:t>均财政</w:t>
            </w:r>
            <w:proofErr w:type="gramEnd"/>
            <w:r w:rsidRPr="005B7463">
              <w:rPr>
                <w:rFonts w:ascii="宋体" w:eastAsia="宋体" w:hAnsi="宋体" w:cs="Times New Roman" w:hint="eastAsia"/>
                <w:kern w:val="0"/>
                <w:sz w:val="28"/>
                <w:szCs w:val="28"/>
              </w:rPr>
              <w:t>拨款标准或生均公用经费标准</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12.落实企事业单位、部队、高校、街道、村集体办幼儿园财政补助政策</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13.落实省定普惠性民办园认定标准、补助标准及扶持政策</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9.收费合理</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14.落实公办幼儿园收费标准和普惠性民办园收费办法</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15.幼儿园收费标准根据社会经济发展水平动态调整</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16.各类幼儿园无不合理收费</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10.教师工资待遇有保障</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17.落实公办园教师工资待遇保障政策，确保教师工资及时足额发放、同工同酬</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18.参照公办园教师工资收入水平，合理确定民办</w:t>
            </w:r>
            <w:proofErr w:type="gramStart"/>
            <w:r w:rsidRPr="005B7463">
              <w:rPr>
                <w:rFonts w:ascii="宋体" w:eastAsia="宋体" w:hAnsi="宋体" w:cs="Times New Roman" w:hint="eastAsia"/>
                <w:kern w:val="0"/>
                <w:sz w:val="28"/>
                <w:szCs w:val="28"/>
              </w:rPr>
              <w:t>园相应</w:t>
            </w:r>
            <w:proofErr w:type="gramEnd"/>
            <w:r w:rsidRPr="005B7463">
              <w:rPr>
                <w:rFonts w:ascii="宋体" w:eastAsia="宋体" w:hAnsi="宋体" w:cs="Times New Roman" w:hint="eastAsia"/>
                <w:kern w:val="0"/>
                <w:sz w:val="28"/>
                <w:szCs w:val="28"/>
              </w:rPr>
              <w:t>教师工资收入</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11.安全风险防控机制健全</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19.落实教育、公安、生态环境、交通、住房城乡建设、卫生健康、市场监管、应急等部门对幼儿园园所、食品、卫生、校车、消防等各方面的安全监管责任</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20.督导评估认定前2年内无较大社会影响的安全责任事故</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12.监管制度比较完善</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21.对民办幼儿园审批严格执行“先证后照”制度，完善年检制度</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22.落实幼儿园基本信息备案及公示制度</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23.建立3—5年一轮覆盖所有幼儿园的办园行为督导评估制度</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24.幼儿园责任督学挂牌督导制度落实到位</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25.全面完成无证</w:t>
            </w:r>
            <w:proofErr w:type="gramStart"/>
            <w:r w:rsidRPr="005B7463">
              <w:rPr>
                <w:rFonts w:ascii="宋体" w:eastAsia="宋体" w:hAnsi="宋体" w:cs="Times New Roman" w:hint="eastAsia"/>
                <w:kern w:val="0"/>
                <w:sz w:val="28"/>
                <w:szCs w:val="28"/>
              </w:rPr>
              <w:t>园治理</w:t>
            </w:r>
            <w:proofErr w:type="gramEnd"/>
            <w:r w:rsidRPr="005B7463">
              <w:rPr>
                <w:rFonts w:ascii="宋体" w:eastAsia="宋体" w:hAnsi="宋体" w:cs="Times New Roman" w:hint="eastAsia"/>
                <w:kern w:val="0"/>
                <w:sz w:val="28"/>
                <w:szCs w:val="28"/>
              </w:rPr>
              <w:t>工作</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26.民办</w:t>
            </w:r>
            <w:proofErr w:type="gramStart"/>
            <w:r w:rsidRPr="005B7463">
              <w:rPr>
                <w:rFonts w:ascii="宋体" w:eastAsia="宋体" w:hAnsi="宋体" w:cs="Times New Roman" w:hint="eastAsia"/>
                <w:kern w:val="0"/>
                <w:sz w:val="28"/>
                <w:szCs w:val="28"/>
              </w:rPr>
              <w:t>园没有</w:t>
            </w:r>
            <w:proofErr w:type="gramEnd"/>
            <w:r w:rsidRPr="005B7463">
              <w:rPr>
                <w:rFonts w:ascii="宋体" w:eastAsia="宋体" w:hAnsi="宋体" w:cs="Times New Roman" w:hint="eastAsia"/>
                <w:kern w:val="0"/>
                <w:sz w:val="28"/>
                <w:szCs w:val="28"/>
              </w:rPr>
              <w:t>上市、过度逐利等行为</w:t>
            </w:r>
          </w:p>
        </w:tc>
      </w:tr>
      <w:tr w:rsidR="005B7463" w:rsidRPr="005B7463" w:rsidTr="005B7463">
        <w:tc>
          <w:tcPr>
            <w:tcW w:w="1710" w:type="dxa"/>
            <w:vMerge w:val="restart"/>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b/>
                <w:bCs/>
                <w:kern w:val="0"/>
                <w:sz w:val="28"/>
                <w:szCs w:val="28"/>
              </w:rPr>
              <w:t>3.幼儿园保教质量保障情况</w:t>
            </w: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13.办园条件合格</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27.幼儿园园舍条件、玩教具和幼儿图书配备普遍达到规定要求</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28.2017年后规划设计的幼儿园符合《幼儿园建设标准》</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14.班</w:t>
            </w:r>
            <w:proofErr w:type="gramStart"/>
            <w:r w:rsidRPr="005B7463">
              <w:rPr>
                <w:rFonts w:ascii="宋体" w:eastAsia="宋体" w:hAnsi="宋体" w:cs="Times New Roman" w:hint="eastAsia"/>
                <w:kern w:val="0"/>
                <w:sz w:val="28"/>
                <w:szCs w:val="28"/>
              </w:rPr>
              <w:t>额普遍</w:t>
            </w:r>
            <w:proofErr w:type="gramEnd"/>
            <w:r w:rsidRPr="005B7463">
              <w:rPr>
                <w:rFonts w:ascii="宋体" w:eastAsia="宋体" w:hAnsi="宋体" w:cs="Times New Roman" w:hint="eastAsia"/>
                <w:kern w:val="0"/>
                <w:sz w:val="28"/>
                <w:szCs w:val="28"/>
              </w:rPr>
              <w:t>达标</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29.县域内85%以上的班</w:t>
            </w:r>
            <w:proofErr w:type="gramStart"/>
            <w:r w:rsidRPr="005B7463">
              <w:rPr>
                <w:rFonts w:ascii="宋体" w:eastAsia="宋体" w:hAnsi="宋体" w:cs="Times New Roman" w:hint="eastAsia"/>
                <w:kern w:val="0"/>
                <w:sz w:val="28"/>
                <w:szCs w:val="28"/>
              </w:rPr>
              <w:t>额符合</w:t>
            </w:r>
            <w:proofErr w:type="gramEnd"/>
            <w:r w:rsidRPr="005B7463">
              <w:rPr>
                <w:rFonts w:ascii="宋体" w:eastAsia="宋体" w:hAnsi="宋体" w:cs="Times New Roman" w:hint="eastAsia"/>
                <w:kern w:val="0"/>
                <w:sz w:val="28"/>
                <w:szCs w:val="28"/>
              </w:rPr>
              <w:t>《幼儿园工作规程》有关规定</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15.教师配足配齐</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30.按《幼儿园教职工配备标准（暂行）》配足配齐各类幼儿园教职工</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31.公办园没有“有编不补”的情况</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32.县域内幼儿园专任教师总数与在园幼儿总数之比不低于1:15</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vMerge w:val="restart"/>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16.教师管理制度严格</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33.建立健全幼儿园教师资格准入制度和定期注册制度，全面落实幼儿园教师持教师资格证上岗制度</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34.落实幼儿园（含民办）园长、教师定期培训和全员轮训制度</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35.加强师德师风建设，幼儿园普遍建立师德教育、考评、奖惩机制</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36.督导评估认定前2年内没有发生严重的师德师风事件。</w:t>
            </w:r>
          </w:p>
        </w:tc>
      </w:tr>
      <w:tr w:rsidR="005B7463" w:rsidRPr="005B7463" w:rsidTr="005B7463">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7463" w:rsidRPr="005B7463" w:rsidRDefault="005B7463" w:rsidP="005B7463">
            <w:pPr>
              <w:widowControl/>
              <w:jc w:val="left"/>
              <w:rPr>
                <w:rFonts w:ascii="Times New Roman" w:eastAsia="宋体" w:hAnsi="Times New Roman" w:cs="Times New Roman"/>
                <w:kern w:val="0"/>
                <w:szCs w:val="21"/>
              </w:rPr>
            </w:pPr>
          </w:p>
        </w:tc>
        <w:tc>
          <w:tcPr>
            <w:tcW w:w="2805"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17.落实科学保教要求</w:t>
            </w:r>
          </w:p>
        </w:tc>
        <w:tc>
          <w:tcPr>
            <w:tcW w:w="4993" w:type="dxa"/>
            <w:tcBorders>
              <w:top w:val="nil"/>
              <w:left w:val="nil"/>
              <w:bottom w:val="single" w:sz="8" w:space="0" w:color="auto"/>
              <w:right w:val="single" w:sz="8" w:space="0" w:color="auto"/>
            </w:tcBorders>
            <w:shd w:val="clear" w:color="auto" w:fill="FFFFFF"/>
            <w:vAlign w:val="center"/>
            <w:hideMark/>
          </w:tcPr>
          <w:p w:rsidR="005B7463" w:rsidRPr="005B7463" w:rsidRDefault="005B7463" w:rsidP="005B7463">
            <w:pPr>
              <w:widowControl/>
              <w:spacing w:line="420" w:lineRule="atLeast"/>
              <w:ind w:firstLine="480"/>
              <w:jc w:val="left"/>
              <w:textAlignment w:val="center"/>
              <w:rPr>
                <w:rFonts w:ascii="Times New Roman" w:eastAsia="宋体" w:hAnsi="Times New Roman" w:cs="Times New Roman"/>
                <w:kern w:val="0"/>
                <w:szCs w:val="21"/>
              </w:rPr>
            </w:pPr>
            <w:r w:rsidRPr="005B7463">
              <w:rPr>
                <w:rFonts w:ascii="宋体" w:eastAsia="宋体" w:hAnsi="宋体" w:cs="Times New Roman" w:hint="eastAsia"/>
                <w:kern w:val="0"/>
                <w:sz w:val="28"/>
                <w:szCs w:val="28"/>
              </w:rPr>
              <w:t>37.县域内幼儿园落实《幼儿园工作规程》《幼儿园教育指导纲要》和《3—6岁儿童学习与发展指南》的规定，以游戏为基本活动，无“小学化”现象。</w:t>
            </w:r>
          </w:p>
        </w:tc>
      </w:tr>
    </w:tbl>
    <w:p w:rsidR="005B7463" w:rsidRPr="005B7463" w:rsidRDefault="005B7463" w:rsidP="005B7463">
      <w:pPr>
        <w:widowControl/>
        <w:shd w:val="clear" w:color="auto" w:fill="FFFFFF"/>
        <w:wordWrap w:val="0"/>
        <w:jc w:val="center"/>
        <w:rPr>
          <w:rFonts w:ascii="Times New Roman" w:eastAsia="宋体" w:hAnsi="Times New Roman" w:cs="Times New Roman"/>
          <w:kern w:val="0"/>
          <w:szCs w:val="21"/>
        </w:rPr>
      </w:pPr>
      <w:r w:rsidRPr="005B7463">
        <w:rPr>
          <w:rFonts w:ascii="宋体" w:eastAsia="宋体" w:hAnsi="宋体" w:cs="Times New Roman" w:hint="eastAsia"/>
          <w:kern w:val="0"/>
          <w:sz w:val="24"/>
        </w:rPr>
        <w:t> </w:t>
      </w:r>
    </w:p>
    <w:p w:rsidR="005B7463" w:rsidRPr="005B7463" w:rsidRDefault="005B7463" w:rsidP="005B7463">
      <w:pPr>
        <w:widowControl/>
        <w:shd w:val="clear" w:color="auto" w:fill="FFFFFF"/>
        <w:wordWrap w:val="0"/>
        <w:jc w:val="center"/>
        <w:rPr>
          <w:rFonts w:ascii="Times New Roman" w:eastAsia="宋体" w:hAnsi="Times New Roman" w:cs="Times New Roman"/>
          <w:kern w:val="0"/>
          <w:szCs w:val="21"/>
        </w:rPr>
      </w:pPr>
      <w:r w:rsidRPr="005B7463">
        <w:rPr>
          <w:rFonts w:ascii="宋体" w:eastAsia="宋体" w:hAnsi="宋体" w:cs="Times New Roman"/>
          <w:noProof/>
          <w:kern w:val="0"/>
          <w:sz w:val="24"/>
        </w:rPr>
        <w:drawing>
          <wp:inline distT="0" distB="0" distL="0" distR="0" wp14:anchorId="4587AC68" wp14:editId="00EDDD3D">
            <wp:extent cx="304800" cy="304800"/>
            <wp:effectExtent l="0" t="0" r="0" b="0"/>
            <wp:docPr id="1" name="图片 1" descr="http://223.244.227.149:50060/group1/M00/09/92/CpYIOWAXcEeAZmCsAAAArtCMpvI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23.244.227.149:50060/group1/M00/09/92/CpYIOWAXcEeAZmCsAAAArtCMpvI37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5B7463" w:rsidRPr="005B74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CE" w:rsidRDefault="00155ACE" w:rsidP="005B7463">
      <w:r>
        <w:separator/>
      </w:r>
    </w:p>
  </w:endnote>
  <w:endnote w:type="continuationSeparator" w:id="0">
    <w:p w:rsidR="00155ACE" w:rsidRDefault="00155ACE" w:rsidP="005B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CE" w:rsidRDefault="00155ACE" w:rsidP="005B7463">
      <w:r>
        <w:separator/>
      </w:r>
    </w:p>
  </w:footnote>
  <w:footnote w:type="continuationSeparator" w:id="0">
    <w:p w:rsidR="00155ACE" w:rsidRDefault="00155ACE" w:rsidP="005B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21"/>
    <w:rsid w:val="00097BC4"/>
    <w:rsid w:val="00155ACE"/>
    <w:rsid w:val="00360D38"/>
    <w:rsid w:val="005B7463"/>
    <w:rsid w:val="006E0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3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360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360D38"/>
    <w:rPr>
      <w:rFonts w:asciiTheme="minorHAnsi" w:eastAsiaTheme="minorEastAsia" w:hAnsiTheme="minorHAnsi" w:cstheme="minorBidi"/>
      <w:kern w:val="2"/>
      <w:sz w:val="18"/>
      <w:szCs w:val="18"/>
    </w:rPr>
  </w:style>
  <w:style w:type="paragraph" w:styleId="a4">
    <w:name w:val="footer"/>
    <w:basedOn w:val="a"/>
    <w:link w:val="Char0"/>
    <w:qFormat/>
    <w:rsid w:val="00360D38"/>
    <w:pPr>
      <w:tabs>
        <w:tab w:val="center" w:pos="4153"/>
        <w:tab w:val="right" w:pos="8306"/>
      </w:tabs>
      <w:snapToGrid w:val="0"/>
      <w:jc w:val="left"/>
    </w:pPr>
    <w:rPr>
      <w:sz w:val="18"/>
      <w:szCs w:val="18"/>
    </w:rPr>
  </w:style>
  <w:style w:type="character" w:customStyle="1" w:styleId="Char0">
    <w:name w:val="页脚 Char"/>
    <w:basedOn w:val="a0"/>
    <w:link w:val="a4"/>
    <w:qFormat/>
    <w:rsid w:val="00360D38"/>
    <w:rPr>
      <w:rFonts w:asciiTheme="minorHAnsi" w:eastAsiaTheme="minorEastAsia" w:hAnsiTheme="minorHAnsi" w:cstheme="minorBidi"/>
      <w:kern w:val="2"/>
      <w:sz w:val="18"/>
      <w:szCs w:val="18"/>
    </w:rPr>
  </w:style>
  <w:style w:type="paragraph" w:styleId="a5">
    <w:name w:val="Normal (Web)"/>
    <w:basedOn w:val="a"/>
    <w:qFormat/>
    <w:rsid w:val="00360D38"/>
    <w:pPr>
      <w:jc w:val="left"/>
    </w:pPr>
    <w:rPr>
      <w:rFonts w:cs="Times New Roman"/>
      <w:kern w:val="0"/>
      <w:sz w:val="24"/>
    </w:rPr>
  </w:style>
  <w:style w:type="paragraph" w:styleId="a6">
    <w:name w:val="Balloon Text"/>
    <w:basedOn w:val="a"/>
    <w:link w:val="Char1"/>
    <w:uiPriority w:val="99"/>
    <w:semiHidden/>
    <w:unhideWhenUsed/>
    <w:rsid w:val="005B7463"/>
    <w:rPr>
      <w:sz w:val="18"/>
      <w:szCs w:val="18"/>
    </w:rPr>
  </w:style>
  <w:style w:type="character" w:customStyle="1" w:styleId="Char1">
    <w:name w:val="批注框文本 Char"/>
    <w:basedOn w:val="a0"/>
    <w:link w:val="a6"/>
    <w:uiPriority w:val="99"/>
    <w:semiHidden/>
    <w:rsid w:val="005B746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3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360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360D38"/>
    <w:rPr>
      <w:rFonts w:asciiTheme="minorHAnsi" w:eastAsiaTheme="minorEastAsia" w:hAnsiTheme="minorHAnsi" w:cstheme="minorBidi"/>
      <w:kern w:val="2"/>
      <w:sz w:val="18"/>
      <w:szCs w:val="18"/>
    </w:rPr>
  </w:style>
  <w:style w:type="paragraph" w:styleId="a4">
    <w:name w:val="footer"/>
    <w:basedOn w:val="a"/>
    <w:link w:val="Char0"/>
    <w:qFormat/>
    <w:rsid w:val="00360D38"/>
    <w:pPr>
      <w:tabs>
        <w:tab w:val="center" w:pos="4153"/>
        <w:tab w:val="right" w:pos="8306"/>
      </w:tabs>
      <w:snapToGrid w:val="0"/>
      <w:jc w:val="left"/>
    </w:pPr>
    <w:rPr>
      <w:sz w:val="18"/>
      <w:szCs w:val="18"/>
    </w:rPr>
  </w:style>
  <w:style w:type="character" w:customStyle="1" w:styleId="Char0">
    <w:name w:val="页脚 Char"/>
    <w:basedOn w:val="a0"/>
    <w:link w:val="a4"/>
    <w:qFormat/>
    <w:rsid w:val="00360D38"/>
    <w:rPr>
      <w:rFonts w:asciiTheme="minorHAnsi" w:eastAsiaTheme="minorEastAsia" w:hAnsiTheme="minorHAnsi" w:cstheme="minorBidi"/>
      <w:kern w:val="2"/>
      <w:sz w:val="18"/>
      <w:szCs w:val="18"/>
    </w:rPr>
  </w:style>
  <w:style w:type="paragraph" w:styleId="a5">
    <w:name w:val="Normal (Web)"/>
    <w:basedOn w:val="a"/>
    <w:qFormat/>
    <w:rsid w:val="00360D38"/>
    <w:pPr>
      <w:jc w:val="left"/>
    </w:pPr>
    <w:rPr>
      <w:rFonts w:cs="Times New Roman"/>
      <w:kern w:val="0"/>
      <w:sz w:val="24"/>
    </w:rPr>
  </w:style>
  <w:style w:type="paragraph" w:styleId="a6">
    <w:name w:val="Balloon Text"/>
    <w:basedOn w:val="a"/>
    <w:link w:val="Char1"/>
    <w:uiPriority w:val="99"/>
    <w:semiHidden/>
    <w:unhideWhenUsed/>
    <w:rsid w:val="005B7463"/>
    <w:rPr>
      <w:sz w:val="18"/>
      <w:szCs w:val="18"/>
    </w:rPr>
  </w:style>
  <w:style w:type="character" w:customStyle="1" w:styleId="Char1">
    <w:name w:val="批注框文本 Char"/>
    <w:basedOn w:val="a0"/>
    <w:link w:val="a6"/>
    <w:uiPriority w:val="99"/>
    <w:semiHidden/>
    <w:rsid w:val="005B746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2021-02-03T07:11:00Z</dcterms:created>
  <dcterms:modified xsi:type="dcterms:W3CDTF">2021-02-03T07:13:00Z</dcterms:modified>
</cp:coreProperties>
</file>