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C" w:rsidRPr="003536FC" w:rsidRDefault="003536FC" w:rsidP="003536FC">
      <w:pPr>
        <w:pStyle w:val="1"/>
        <w:shd w:val="clear" w:color="auto" w:fill="F8F8F8"/>
        <w:spacing w:before="0" w:beforeAutospacing="0" w:after="0" w:afterAutospacing="0" w:line="580" w:lineRule="exact"/>
        <w:jc w:val="center"/>
        <w:rPr>
          <w:rFonts w:ascii="方正小标宋简体" w:eastAsia="方正小标宋简体" w:hAnsi="微软雅黑" w:hint="eastAsia"/>
          <w:b w:val="0"/>
          <w:bCs w:val="0"/>
          <w:color w:val="333333"/>
          <w:sz w:val="44"/>
          <w:szCs w:val="44"/>
        </w:rPr>
      </w:pPr>
      <w:r w:rsidRPr="003536FC">
        <w:rPr>
          <w:rFonts w:ascii="方正小标宋简体" w:eastAsia="方正小标宋简体" w:hAnsi="微软雅黑" w:hint="eastAsia"/>
          <w:b w:val="0"/>
          <w:bCs w:val="0"/>
          <w:color w:val="333333"/>
          <w:sz w:val="44"/>
          <w:szCs w:val="44"/>
        </w:rPr>
        <w:t>《关于印发全椒县城市公益性骨灰堂管理办法（试行）》的起草说明</w:t>
      </w:r>
    </w:p>
    <w:p w:rsidR="003536FC" w:rsidRDefault="003536FC" w:rsidP="003536FC">
      <w:pPr>
        <w:pStyle w:val="a5"/>
        <w:shd w:val="clear" w:color="auto" w:fill="F8F8F8"/>
        <w:spacing w:before="0" w:beforeAutospacing="0" w:after="0" w:afterAutospacing="0" w:line="580" w:lineRule="exact"/>
        <w:ind w:firstLine="640"/>
        <w:jc w:val="both"/>
        <w:rPr>
          <w:rFonts w:ascii="黑体" w:eastAsia="黑体" w:hAnsi="黑体" w:hint="eastAsia"/>
          <w:color w:val="333333"/>
          <w:sz w:val="32"/>
          <w:szCs w:val="32"/>
        </w:rPr>
      </w:pPr>
    </w:p>
    <w:p w:rsidR="003536FC" w:rsidRDefault="003536FC" w:rsidP="003536FC">
      <w:pPr>
        <w:pStyle w:val="a5"/>
        <w:shd w:val="clear" w:color="auto" w:fill="F8F8F8"/>
        <w:spacing w:before="0" w:beforeAutospacing="0" w:after="0" w:afterAutospacing="0" w:line="580" w:lineRule="exact"/>
        <w:ind w:firstLine="640"/>
        <w:jc w:val="both"/>
        <w:rPr>
          <w:rFonts w:ascii="Calibri" w:hAnsi="Calibri"/>
          <w:color w:val="333333"/>
          <w:sz w:val="21"/>
          <w:szCs w:val="21"/>
        </w:rPr>
      </w:pPr>
      <w:r>
        <w:rPr>
          <w:rFonts w:ascii="黑体" w:eastAsia="黑体" w:hAnsi="黑体" w:hint="eastAsia"/>
          <w:color w:val="333333"/>
          <w:sz w:val="32"/>
          <w:szCs w:val="32"/>
        </w:rPr>
        <w:t>一、文件依据</w:t>
      </w:r>
    </w:p>
    <w:p w:rsidR="003536FC" w:rsidRDefault="003536FC" w:rsidP="003536FC">
      <w:pPr>
        <w:pStyle w:val="a5"/>
        <w:shd w:val="clear" w:color="auto" w:fill="F8F8F8"/>
        <w:spacing w:before="0" w:beforeAutospacing="0" w:after="0" w:afterAutospacing="0" w:line="580" w:lineRule="exact"/>
        <w:ind w:firstLine="640"/>
        <w:jc w:val="both"/>
        <w:rPr>
          <w:rFonts w:ascii="Calibri" w:hAnsi="Calibri"/>
          <w:color w:val="333333"/>
          <w:sz w:val="21"/>
          <w:szCs w:val="21"/>
        </w:rPr>
      </w:pPr>
      <w:r>
        <w:rPr>
          <w:rFonts w:ascii="仿宋" w:eastAsia="仿宋" w:hAnsi="仿宋" w:hint="eastAsia"/>
          <w:color w:val="333333"/>
          <w:sz w:val="32"/>
          <w:szCs w:val="32"/>
        </w:rPr>
        <w:t>为加强对城市公益性骨灰堂的管理，根据《殡葬管理条例》（国务院令第</w:t>
      </w:r>
      <w:r>
        <w:rPr>
          <w:rFonts w:ascii="Times New Roman" w:hAnsi="Times New Roman" w:cs="Times New Roman"/>
          <w:color w:val="333333"/>
          <w:sz w:val="32"/>
          <w:szCs w:val="32"/>
        </w:rPr>
        <w:t>225</w:t>
      </w:r>
      <w:r>
        <w:rPr>
          <w:rFonts w:ascii="仿宋" w:eastAsia="仿宋" w:hAnsi="仿宋" w:hint="eastAsia"/>
          <w:color w:val="333333"/>
          <w:sz w:val="32"/>
          <w:szCs w:val="32"/>
        </w:rPr>
        <w:t>号）、《安徽省殡葬管理办法》（安徽省人民政府令第</w:t>
      </w:r>
      <w:r>
        <w:rPr>
          <w:rFonts w:ascii="Times New Roman" w:hAnsi="Times New Roman" w:cs="Times New Roman"/>
          <w:color w:val="333333"/>
          <w:sz w:val="32"/>
          <w:szCs w:val="32"/>
        </w:rPr>
        <w:t>279</w:t>
      </w:r>
      <w:r>
        <w:rPr>
          <w:rFonts w:ascii="仿宋" w:eastAsia="仿宋" w:hAnsi="仿宋" w:hint="eastAsia"/>
          <w:color w:val="333333"/>
          <w:sz w:val="32"/>
          <w:szCs w:val="32"/>
        </w:rPr>
        <w:t>号）、《安徽省人民政府办公厅关于加强公益性公墓建设管理的通知》（皖政办秘〔</w:t>
      </w:r>
      <w:r>
        <w:rPr>
          <w:rFonts w:ascii="Times New Roman" w:hAnsi="Times New Roman" w:cs="Times New Roman"/>
          <w:color w:val="333333"/>
          <w:sz w:val="32"/>
          <w:szCs w:val="32"/>
        </w:rPr>
        <w:t>2013</w:t>
      </w:r>
      <w:r>
        <w:rPr>
          <w:rFonts w:ascii="仿宋" w:eastAsia="仿宋" w:hAnsi="仿宋" w:hint="eastAsia"/>
          <w:color w:val="333333"/>
          <w:sz w:val="32"/>
          <w:szCs w:val="32"/>
        </w:rPr>
        <w:t>〕</w:t>
      </w:r>
      <w:r>
        <w:rPr>
          <w:rFonts w:ascii="Times New Roman" w:hAnsi="Times New Roman" w:cs="Times New Roman"/>
          <w:color w:val="333333"/>
          <w:sz w:val="32"/>
          <w:szCs w:val="32"/>
        </w:rPr>
        <w:t>189</w:t>
      </w:r>
      <w:r>
        <w:rPr>
          <w:rFonts w:ascii="仿宋" w:eastAsia="仿宋" w:hAnsi="仿宋" w:hint="eastAsia"/>
          <w:color w:val="333333"/>
          <w:sz w:val="32"/>
          <w:szCs w:val="32"/>
        </w:rPr>
        <w:t>号）、民政部等</w:t>
      </w:r>
      <w:r>
        <w:rPr>
          <w:rFonts w:ascii="Times New Roman" w:hAnsi="Times New Roman" w:cs="Times New Roman"/>
          <w:color w:val="333333"/>
          <w:sz w:val="32"/>
          <w:szCs w:val="32"/>
        </w:rPr>
        <w:t>16</w:t>
      </w:r>
      <w:r>
        <w:rPr>
          <w:rFonts w:ascii="仿宋" w:eastAsia="仿宋" w:hAnsi="仿宋" w:hint="eastAsia"/>
          <w:color w:val="333333"/>
          <w:sz w:val="32"/>
          <w:szCs w:val="32"/>
        </w:rPr>
        <w:t>部委《关于进一步推动殡葬改革促进殡葬事业发展的指导意见的通知》（民发〔</w:t>
      </w:r>
      <w:r>
        <w:rPr>
          <w:rFonts w:ascii="Times New Roman" w:hAnsi="Times New Roman" w:cs="Times New Roman"/>
          <w:color w:val="333333"/>
          <w:sz w:val="32"/>
          <w:szCs w:val="32"/>
        </w:rPr>
        <w:t>2018</w:t>
      </w:r>
      <w:r>
        <w:rPr>
          <w:rFonts w:ascii="仿宋" w:eastAsia="仿宋" w:hAnsi="仿宋" w:hint="eastAsia"/>
          <w:color w:val="333333"/>
          <w:sz w:val="32"/>
          <w:szCs w:val="32"/>
        </w:rPr>
        <w:t>〕</w:t>
      </w:r>
      <w:r>
        <w:rPr>
          <w:rFonts w:ascii="Times New Roman" w:hAnsi="Times New Roman" w:cs="Times New Roman"/>
          <w:color w:val="333333"/>
          <w:sz w:val="32"/>
          <w:szCs w:val="32"/>
        </w:rPr>
        <w:t>5</w:t>
      </w:r>
      <w:r>
        <w:rPr>
          <w:rFonts w:ascii="仿宋" w:eastAsia="仿宋" w:hAnsi="仿宋" w:hint="eastAsia"/>
          <w:color w:val="333333"/>
          <w:sz w:val="32"/>
          <w:szCs w:val="32"/>
        </w:rPr>
        <w:t>号）等有关规定，特制定本办法。</w:t>
      </w:r>
      <w:r>
        <w:rPr>
          <w:rFonts w:hint="eastAsia"/>
          <w:color w:val="333333"/>
          <w:sz w:val="32"/>
          <w:szCs w:val="32"/>
        </w:rPr>
        <w:t> </w:t>
      </w:r>
    </w:p>
    <w:p w:rsidR="003536FC" w:rsidRDefault="003536FC" w:rsidP="003536FC">
      <w:pPr>
        <w:pStyle w:val="a5"/>
        <w:shd w:val="clear" w:color="auto" w:fill="F8F8F8"/>
        <w:spacing w:before="0" w:beforeAutospacing="0" w:after="0" w:afterAutospacing="0" w:line="580" w:lineRule="exact"/>
        <w:ind w:firstLine="640"/>
        <w:jc w:val="both"/>
        <w:rPr>
          <w:rFonts w:ascii="Calibri" w:hAnsi="Calibri"/>
          <w:color w:val="333333"/>
          <w:sz w:val="21"/>
          <w:szCs w:val="21"/>
        </w:rPr>
      </w:pPr>
      <w:r>
        <w:rPr>
          <w:rFonts w:ascii="黑体" w:eastAsia="黑体" w:hAnsi="黑体" w:hint="eastAsia"/>
          <w:color w:val="333333"/>
          <w:sz w:val="32"/>
          <w:szCs w:val="32"/>
        </w:rPr>
        <w:t>二、起草过程</w:t>
      </w:r>
    </w:p>
    <w:p w:rsidR="003536FC" w:rsidRDefault="003536FC" w:rsidP="003536FC">
      <w:pPr>
        <w:pStyle w:val="a5"/>
        <w:shd w:val="clear" w:color="auto" w:fill="F8F8F8"/>
        <w:spacing w:before="0" w:beforeAutospacing="0" w:after="0" w:afterAutospacing="0" w:line="580" w:lineRule="exact"/>
        <w:ind w:firstLine="640"/>
        <w:jc w:val="both"/>
        <w:rPr>
          <w:rFonts w:ascii="Calibri" w:hAnsi="Calibri"/>
          <w:color w:val="333333"/>
          <w:sz w:val="21"/>
          <w:szCs w:val="21"/>
        </w:rPr>
      </w:pPr>
      <w:r>
        <w:rPr>
          <w:rFonts w:ascii="仿宋" w:eastAsia="仿宋" w:hAnsi="仿宋" w:hint="eastAsia"/>
          <w:color w:val="333333"/>
          <w:sz w:val="32"/>
          <w:szCs w:val="32"/>
        </w:rPr>
        <w:t>为全面深入推进殡葬改革,杜绝违法违规私自新建或翻建墓地，规范城市公益性骨灰堂管理，提升服务水平，让群众接受节地生态、便民助民的公益性殡葬服务设施。根据上级文件，结合我县实际，拟定了《全椒县城市公益性骨灰堂管理办法（试行）》，并于</w:t>
      </w:r>
      <w:r>
        <w:rPr>
          <w:rFonts w:ascii="Times New Roman" w:hAnsi="Times New Roman" w:cs="Times New Roman"/>
          <w:color w:val="333333"/>
          <w:sz w:val="32"/>
          <w:szCs w:val="32"/>
        </w:rPr>
        <w:t>2022</w:t>
      </w:r>
      <w:r>
        <w:rPr>
          <w:rFonts w:ascii="仿宋" w:eastAsia="仿宋" w:hAnsi="仿宋" w:hint="eastAsia"/>
          <w:color w:val="333333"/>
          <w:sz w:val="32"/>
          <w:szCs w:val="32"/>
        </w:rPr>
        <w:t>年</w:t>
      </w:r>
      <w:r>
        <w:rPr>
          <w:rFonts w:ascii="Times New Roman" w:hAnsi="Times New Roman" w:cs="Times New Roman"/>
          <w:color w:val="333333"/>
          <w:sz w:val="32"/>
          <w:szCs w:val="32"/>
        </w:rPr>
        <w:t>5</w:t>
      </w:r>
      <w:r>
        <w:rPr>
          <w:rFonts w:ascii="仿宋" w:eastAsia="仿宋" w:hAnsi="仿宋" w:hint="eastAsia"/>
          <w:color w:val="333333"/>
          <w:sz w:val="32"/>
          <w:szCs w:val="32"/>
        </w:rPr>
        <w:t>月</w:t>
      </w:r>
      <w:r>
        <w:rPr>
          <w:rFonts w:ascii="Times New Roman" w:hAnsi="Times New Roman" w:cs="Times New Roman"/>
          <w:color w:val="333333"/>
          <w:sz w:val="32"/>
          <w:szCs w:val="32"/>
        </w:rPr>
        <w:t>13</w:t>
      </w:r>
      <w:r>
        <w:rPr>
          <w:rFonts w:ascii="仿宋" w:eastAsia="仿宋" w:hAnsi="仿宋" w:hint="eastAsia"/>
          <w:color w:val="333333"/>
          <w:sz w:val="32"/>
          <w:szCs w:val="32"/>
        </w:rPr>
        <w:t>日召开相关部门意见征求会。</w:t>
      </w:r>
      <w:r>
        <w:rPr>
          <w:rFonts w:hint="eastAsia"/>
          <w:color w:val="333333"/>
          <w:sz w:val="32"/>
          <w:szCs w:val="32"/>
        </w:rPr>
        <w:t> </w:t>
      </w:r>
    </w:p>
    <w:p w:rsidR="003536FC" w:rsidRDefault="003536FC" w:rsidP="003536FC">
      <w:pPr>
        <w:pStyle w:val="a5"/>
        <w:shd w:val="clear" w:color="auto" w:fill="F8F8F8"/>
        <w:spacing w:before="0" w:beforeAutospacing="0" w:after="0" w:afterAutospacing="0" w:line="580" w:lineRule="exact"/>
        <w:ind w:firstLine="640"/>
        <w:jc w:val="both"/>
        <w:rPr>
          <w:rFonts w:ascii="Calibri" w:hAnsi="Calibri"/>
          <w:color w:val="333333"/>
          <w:sz w:val="21"/>
          <w:szCs w:val="21"/>
        </w:rPr>
      </w:pPr>
      <w:r>
        <w:rPr>
          <w:rFonts w:ascii="黑体" w:eastAsia="黑体" w:hAnsi="黑体" w:hint="eastAsia"/>
          <w:color w:val="333333"/>
          <w:sz w:val="32"/>
          <w:szCs w:val="32"/>
        </w:rPr>
        <w:t>三、重点举措</w:t>
      </w:r>
    </w:p>
    <w:p w:rsidR="003536FC" w:rsidRDefault="003536FC" w:rsidP="003536FC">
      <w:pPr>
        <w:pStyle w:val="a5"/>
        <w:shd w:val="clear" w:color="auto" w:fill="F8F8F8"/>
        <w:spacing w:before="0" w:beforeAutospacing="0" w:after="0" w:afterAutospacing="0" w:line="580" w:lineRule="exact"/>
        <w:ind w:firstLine="643"/>
        <w:jc w:val="both"/>
        <w:rPr>
          <w:rFonts w:ascii="Calibri" w:hAnsi="Calibri"/>
          <w:color w:val="333333"/>
          <w:sz w:val="21"/>
          <w:szCs w:val="21"/>
        </w:rPr>
      </w:pPr>
      <w:r>
        <w:rPr>
          <w:rFonts w:ascii="楷体" w:eastAsia="楷体" w:hAnsi="楷体" w:hint="eastAsia"/>
          <w:b/>
          <w:bCs/>
          <w:color w:val="333333"/>
          <w:sz w:val="32"/>
          <w:szCs w:val="32"/>
        </w:rPr>
        <w:t>（一）明确监督管理与服务主体，经营性质与服务范围。</w:t>
      </w:r>
      <w:r>
        <w:rPr>
          <w:rFonts w:ascii="仿宋" w:eastAsia="仿宋" w:hAnsi="仿宋" w:hint="eastAsia"/>
          <w:color w:val="333333"/>
          <w:sz w:val="32"/>
          <w:szCs w:val="32"/>
        </w:rPr>
        <w:t>明确了全椒县民政局是监督管理，全椒县殡仪馆是服务主体；经营性质是公益性，不得违规承包经营，不得对本县以外户籍的群众提供骨灰安放格位。</w:t>
      </w:r>
    </w:p>
    <w:p w:rsidR="003536FC" w:rsidRDefault="003536FC" w:rsidP="003536FC">
      <w:pPr>
        <w:pStyle w:val="a5"/>
        <w:shd w:val="clear" w:color="auto" w:fill="F8F8F8"/>
        <w:spacing w:before="0" w:beforeAutospacing="0" w:after="0" w:afterAutospacing="0" w:line="580" w:lineRule="exact"/>
        <w:ind w:firstLine="643"/>
        <w:jc w:val="both"/>
        <w:rPr>
          <w:rFonts w:ascii="Calibri" w:hAnsi="Calibri"/>
          <w:color w:val="333333"/>
          <w:sz w:val="21"/>
          <w:szCs w:val="21"/>
        </w:rPr>
      </w:pPr>
      <w:r>
        <w:rPr>
          <w:rFonts w:ascii="楷体" w:eastAsia="楷体" w:hAnsi="楷体" w:hint="eastAsia"/>
          <w:b/>
          <w:bCs/>
          <w:color w:val="333333"/>
          <w:sz w:val="32"/>
          <w:szCs w:val="32"/>
        </w:rPr>
        <w:lastRenderedPageBreak/>
        <w:t>（二）规范城市公益性骨灰堂管理。</w:t>
      </w:r>
      <w:r>
        <w:rPr>
          <w:rFonts w:ascii="仿宋" w:eastAsia="仿宋" w:hAnsi="仿宋" w:hint="eastAsia"/>
          <w:b/>
          <w:bCs/>
          <w:color w:val="333333"/>
          <w:sz w:val="32"/>
          <w:szCs w:val="32"/>
        </w:rPr>
        <w:t>一是</w:t>
      </w:r>
      <w:r>
        <w:rPr>
          <w:rFonts w:ascii="仿宋" w:eastAsia="仿宋" w:hAnsi="仿宋" w:hint="eastAsia"/>
          <w:color w:val="333333"/>
          <w:sz w:val="32"/>
          <w:szCs w:val="32"/>
        </w:rPr>
        <w:t>规范选择骨灰安放格位、提供证件材料清单、安放登记与祭扫管理等服务流程；</w:t>
      </w:r>
      <w:r>
        <w:rPr>
          <w:rFonts w:ascii="仿宋" w:eastAsia="仿宋" w:hAnsi="仿宋" w:hint="eastAsia"/>
          <w:b/>
          <w:bCs/>
          <w:color w:val="333333"/>
          <w:sz w:val="32"/>
          <w:szCs w:val="32"/>
        </w:rPr>
        <w:t>二是</w:t>
      </w:r>
      <w:r>
        <w:rPr>
          <w:rFonts w:ascii="仿宋" w:eastAsia="仿宋" w:hAnsi="仿宋" w:hint="eastAsia"/>
          <w:color w:val="333333"/>
          <w:sz w:val="32"/>
          <w:szCs w:val="32"/>
        </w:rPr>
        <w:t>强化安全管理，要求服务对象不得在骨灰堂室内或室外进行燃放鞭炮、焚烧纸币、扎灵、奏乐等活动；</w:t>
      </w:r>
      <w:r>
        <w:rPr>
          <w:rFonts w:ascii="仿宋" w:eastAsia="仿宋" w:hAnsi="仿宋" w:hint="eastAsia"/>
          <w:b/>
          <w:bCs/>
          <w:color w:val="333333"/>
          <w:sz w:val="32"/>
          <w:szCs w:val="32"/>
        </w:rPr>
        <w:t>三是</w:t>
      </w:r>
      <w:r>
        <w:rPr>
          <w:rFonts w:ascii="仿宋" w:eastAsia="仿宋" w:hAnsi="仿宋" w:hint="eastAsia"/>
          <w:color w:val="333333"/>
          <w:sz w:val="32"/>
          <w:szCs w:val="32"/>
        </w:rPr>
        <w:t>明确收费标准，由价格主管部门进行核定，做好收费标准的公示与监督，做到财务管理实行收支“两条线”；</w:t>
      </w:r>
      <w:r>
        <w:rPr>
          <w:rFonts w:ascii="仿宋" w:eastAsia="仿宋" w:hAnsi="仿宋" w:hint="eastAsia"/>
          <w:b/>
          <w:bCs/>
          <w:color w:val="333333"/>
          <w:sz w:val="32"/>
          <w:szCs w:val="32"/>
        </w:rPr>
        <w:t>四是</w:t>
      </w:r>
      <w:r>
        <w:rPr>
          <w:rFonts w:ascii="仿宋" w:eastAsia="仿宋" w:hAnsi="仿宋" w:hint="eastAsia"/>
          <w:color w:val="333333"/>
          <w:sz w:val="32"/>
          <w:szCs w:val="32"/>
        </w:rPr>
        <w:t>明确骨灰安放格位使用周期为</w:t>
      </w:r>
      <w:r>
        <w:rPr>
          <w:rFonts w:ascii="Times New Roman" w:hAnsi="Times New Roman" w:cs="Times New Roman"/>
          <w:color w:val="333333"/>
          <w:sz w:val="32"/>
          <w:szCs w:val="32"/>
        </w:rPr>
        <w:t>20</w:t>
      </w:r>
      <w:r>
        <w:rPr>
          <w:rFonts w:ascii="仿宋" w:eastAsia="仿宋" w:hAnsi="仿宋" w:hint="eastAsia"/>
          <w:color w:val="333333"/>
          <w:sz w:val="32"/>
          <w:szCs w:val="32"/>
        </w:rPr>
        <w:t>年，到期需要继续使用的，须办理续用手续，缴纳管理维护费；</w:t>
      </w:r>
      <w:r>
        <w:rPr>
          <w:rFonts w:ascii="仿宋" w:eastAsia="仿宋" w:hAnsi="仿宋" w:hint="eastAsia"/>
          <w:b/>
          <w:bCs/>
          <w:color w:val="333333"/>
          <w:sz w:val="32"/>
          <w:szCs w:val="32"/>
        </w:rPr>
        <w:t>五是</w:t>
      </w:r>
      <w:r>
        <w:rPr>
          <w:rFonts w:ascii="仿宋" w:eastAsia="仿宋" w:hAnsi="仿宋" w:hint="eastAsia"/>
          <w:color w:val="333333"/>
          <w:sz w:val="32"/>
          <w:szCs w:val="32"/>
        </w:rPr>
        <w:t>明确优惠减免标准，对特殊困难弱势群体、对国家与社会有特殊贡献、殡葬整治拆除违法违规殡葬设施迁移安置骨灰，按相对应的标准优惠减免费用。</w:t>
      </w:r>
    </w:p>
    <w:p w:rsidR="003536FC" w:rsidRDefault="003536FC" w:rsidP="003536FC">
      <w:pPr>
        <w:pStyle w:val="a5"/>
        <w:shd w:val="clear" w:color="auto" w:fill="F8F8F8"/>
        <w:spacing w:before="0" w:beforeAutospacing="0" w:after="0" w:afterAutospacing="0" w:line="580" w:lineRule="exact"/>
        <w:ind w:firstLine="643"/>
        <w:jc w:val="both"/>
        <w:rPr>
          <w:rFonts w:ascii="Calibri" w:hAnsi="Calibri"/>
          <w:color w:val="333333"/>
          <w:sz w:val="21"/>
          <w:szCs w:val="21"/>
        </w:rPr>
      </w:pPr>
      <w:r>
        <w:rPr>
          <w:rFonts w:ascii="楷体" w:eastAsia="楷体" w:hAnsi="楷体" w:hint="eastAsia"/>
          <w:b/>
          <w:bCs/>
          <w:color w:val="333333"/>
          <w:sz w:val="32"/>
          <w:szCs w:val="32"/>
        </w:rPr>
        <w:t>（三）明确违反规定处罚依据。</w:t>
      </w:r>
      <w:r>
        <w:rPr>
          <w:rFonts w:ascii="仿宋" w:eastAsia="仿宋" w:hAnsi="仿宋" w:hint="eastAsia"/>
          <w:b/>
          <w:bCs/>
          <w:color w:val="333333"/>
          <w:sz w:val="32"/>
          <w:szCs w:val="32"/>
        </w:rPr>
        <w:t>一是</w:t>
      </w:r>
      <w:r>
        <w:rPr>
          <w:rFonts w:ascii="仿宋" w:eastAsia="仿宋" w:hAnsi="仿宋" w:hint="eastAsia"/>
          <w:color w:val="333333"/>
          <w:sz w:val="32"/>
          <w:szCs w:val="32"/>
        </w:rPr>
        <w:t>明确私自转让、炒卖骨灰安放格位处罚标准与执法主体。</w:t>
      </w:r>
      <w:r>
        <w:rPr>
          <w:rFonts w:ascii="仿宋" w:eastAsia="仿宋" w:hAnsi="仿宋" w:hint="eastAsia"/>
          <w:b/>
          <w:bCs/>
          <w:color w:val="333333"/>
          <w:sz w:val="32"/>
          <w:szCs w:val="32"/>
        </w:rPr>
        <w:t>二是明确</w:t>
      </w:r>
      <w:r>
        <w:rPr>
          <w:rFonts w:ascii="仿宋" w:eastAsia="仿宋" w:hAnsi="仿宋" w:hint="eastAsia"/>
          <w:color w:val="333333"/>
          <w:sz w:val="32"/>
          <w:szCs w:val="32"/>
        </w:rPr>
        <w:t>违反安全管理规定由公安机关按规定处罚。</w:t>
      </w:r>
      <w:r>
        <w:rPr>
          <w:rFonts w:ascii="仿宋" w:eastAsia="仿宋" w:hAnsi="仿宋" w:hint="eastAsia"/>
          <w:b/>
          <w:bCs/>
          <w:color w:val="333333"/>
          <w:sz w:val="32"/>
          <w:szCs w:val="32"/>
        </w:rPr>
        <w:t>三是明确</w:t>
      </w:r>
      <w:r>
        <w:rPr>
          <w:rFonts w:ascii="仿宋" w:eastAsia="仿宋" w:hAnsi="仿宋" w:hint="eastAsia"/>
          <w:color w:val="333333"/>
          <w:sz w:val="32"/>
          <w:szCs w:val="32"/>
        </w:rPr>
        <w:t>骨灰堂管理单位销售骨灰安放格位违反价格规定由市场监管部门按规定处罚。</w:t>
      </w:r>
      <w:r>
        <w:rPr>
          <w:rFonts w:ascii="仿宋" w:eastAsia="仿宋" w:hAnsi="仿宋" w:hint="eastAsia"/>
          <w:b/>
          <w:bCs/>
          <w:color w:val="333333"/>
          <w:sz w:val="32"/>
          <w:szCs w:val="32"/>
        </w:rPr>
        <w:t>四是</w:t>
      </w:r>
      <w:r>
        <w:rPr>
          <w:rFonts w:ascii="仿宋" w:eastAsia="仿宋" w:hAnsi="仿宋" w:hint="eastAsia"/>
          <w:color w:val="333333"/>
          <w:sz w:val="32"/>
          <w:szCs w:val="32"/>
        </w:rPr>
        <w:t>要求管理服务人员特别是国家公职人员、党员干部遵守殡葬管理规定。</w:t>
      </w:r>
    </w:p>
    <w:p w:rsidR="003536FC" w:rsidRDefault="003536FC" w:rsidP="003536FC">
      <w:pPr>
        <w:pStyle w:val="a5"/>
        <w:shd w:val="clear" w:color="auto" w:fill="F8F8F8"/>
        <w:spacing w:before="0" w:beforeAutospacing="0" w:after="0" w:afterAutospacing="0" w:line="580" w:lineRule="exact"/>
        <w:ind w:firstLine="640"/>
        <w:jc w:val="both"/>
        <w:rPr>
          <w:rFonts w:ascii="Calibri" w:hAnsi="Calibri"/>
          <w:color w:val="333333"/>
          <w:sz w:val="21"/>
          <w:szCs w:val="21"/>
        </w:rPr>
      </w:pPr>
      <w:r>
        <w:rPr>
          <w:rFonts w:ascii="黑体" w:eastAsia="黑体" w:hAnsi="黑体" w:hint="eastAsia"/>
          <w:color w:val="333333"/>
          <w:sz w:val="32"/>
          <w:szCs w:val="32"/>
        </w:rPr>
        <w:t>四、提请研究事项</w:t>
      </w:r>
    </w:p>
    <w:p w:rsidR="00B14046" w:rsidRPr="003536FC" w:rsidRDefault="003536FC" w:rsidP="003536FC">
      <w:pPr>
        <w:pStyle w:val="a5"/>
        <w:shd w:val="clear" w:color="auto" w:fill="F8F8F8"/>
        <w:spacing w:before="0" w:beforeAutospacing="0" w:after="0" w:afterAutospacing="0" w:line="580" w:lineRule="exact"/>
        <w:jc w:val="both"/>
        <w:rPr>
          <w:rFonts w:ascii="Calibri" w:eastAsiaTheme="minorEastAsia" w:hAnsi="Calibri" w:hint="eastAsia"/>
          <w:color w:val="333333"/>
          <w:sz w:val="21"/>
          <w:szCs w:val="21"/>
        </w:rPr>
      </w:pPr>
      <w:r>
        <w:rPr>
          <w:rFonts w:ascii="仿宋" w:eastAsia="仿宋" w:hAnsi="仿宋" w:hint="eastAsia"/>
          <w:color w:val="333333"/>
          <w:sz w:val="32"/>
          <w:szCs w:val="32"/>
        </w:rPr>
        <w:t>提请县政府常务会议研究《全椒县城市公益性骨灰堂管理实施办法（试行）》。</w:t>
      </w:r>
    </w:p>
    <w:sectPr w:rsidR="00B14046" w:rsidRPr="003536FC" w:rsidSect="00B140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49" w:rsidRDefault="00227A49" w:rsidP="004163EA">
      <w:r>
        <w:separator/>
      </w:r>
    </w:p>
  </w:endnote>
  <w:endnote w:type="continuationSeparator" w:id="1">
    <w:p w:rsidR="00227A49" w:rsidRDefault="00227A49" w:rsidP="00416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5379"/>
      <w:docPartObj>
        <w:docPartGallery w:val="Page Numbers (Bottom of Page)"/>
        <w:docPartUnique/>
      </w:docPartObj>
    </w:sdtPr>
    <w:sdtContent>
      <w:p w:rsidR="003536FC" w:rsidRDefault="003536FC">
        <w:pPr>
          <w:pStyle w:val="a4"/>
          <w:jc w:val="center"/>
        </w:pPr>
        <w:fldSimple w:instr=" PAGE   \* MERGEFORMAT ">
          <w:r w:rsidRPr="003536FC">
            <w:rPr>
              <w:noProof/>
              <w:lang w:val="zh-CN"/>
            </w:rPr>
            <w:t>1</w:t>
          </w:r>
        </w:fldSimple>
      </w:p>
    </w:sdtContent>
  </w:sdt>
  <w:p w:rsidR="004163EA" w:rsidRDefault="004163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49" w:rsidRDefault="00227A49" w:rsidP="004163EA">
      <w:r>
        <w:separator/>
      </w:r>
    </w:p>
  </w:footnote>
  <w:footnote w:type="continuationSeparator" w:id="1">
    <w:p w:rsidR="00227A49" w:rsidRDefault="00227A49" w:rsidP="00416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3EA"/>
    <w:rsid w:val="00227A49"/>
    <w:rsid w:val="003536FC"/>
    <w:rsid w:val="004163EA"/>
    <w:rsid w:val="00B14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46"/>
    <w:pPr>
      <w:widowControl w:val="0"/>
      <w:jc w:val="both"/>
    </w:pPr>
  </w:style>
  <w:style w:type="paragraph" w:styleId="1">
    <w:name w:val="heading 1"/>
    <w:basedOn w:val="a"/>
    <w:link w:val="1Char"/>
    <w:uiPriority w:val="9"/>
    <w:qFormat/>
    <w:rsid w:val="004163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63EA"/>
    <w:rPr>
      <w:rFonts w:ascii="宋体" w:eastAsia="宋体" w:hAnsi="宋体" w:cs="宋体"/>
      <w:b/>
      <w:bCs/>
      <w:kern w:val="36"/>
      <w:sz w:val="48"/>
      <w:szCs w:val="48"/>
    </w:rPr>
  </w:style>
  <w:style w:type="paragraph" w:styleId="a3">
    <w:name w:val="header"/>
    <w:basedOn w:val="a"/>
    <w:link w:val="Char"/>
    <w:uiPriority w:val="99"/>
    <w:semiHidden/>
    <w:unhideWhenUsed/>
    <w:rsid w:val="00416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3EA"/>
    <w:rPr>
      <w:sz w:val="18"/>
      <w:szCs w:val="18"/>
    </w:rPr>
  </w:style>
  <w:style w:type="paragraph" w:styleId="a4">
    <w:name w:val="footer"/>
    <w:basedOn w:val="a"/>
    <w:link w:val="Char0"/>
    <w:uiPriority w:val="99"/>
    <w:unhideWhenUsed/>
    <w:rsid w:val="004163EA"/>
    <w:pPr>
      <w:tabs>
        <w:tab w:val="center" w:pos="4153"/>
        <w:tab w:val="right" w:pos="8306"/>
      </w:tabs>
      <w:snapToGrid w:val="0"/>
      <w:jc w:val="left"/>
    </w:pPr>
    <w:rPr>
      <w:sz w:val="18"/>
      <w:szCs w:val="18"/>
    </w:rPr>
  </w:style>
  <w:style w:type="character" w:customStyle="1" w:styleId="Char0">
    <w:name w:val="页脚 Char"/>
    <w:basedOn w:val="a0"/>
    <w:link w:val="a4"/>
    <w:uiPriority w:val="99"/>
    <w:rsid w:val="004163EA"/>
    <w:rPr>
      <w:sz w:val="18"/>
      <w:szCs w:val="18"/>
    </w:rPr>
  </w:style>
  <w:style w:type="paragraph" w:styleId="a5">
    <w:name w:val="Normal (Web)"/>
    <w:basedOn w:val="a"/>
    <w:uiPriority w:val="99"/>
    <w:unhideWhenUsed/>
    <w:rsid w:val="003536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8809207">
      <w:bodyDiv w:val="1"/>
      <w:marLeft w:val="0"/>
      <w:marRight w:val="0"/>
      <w:marTop w:val="0"/>
      <w:marBottom w:val="0"/>
      <w:divBdr>
        <w:top w:val="none" w:sz="0" w:space="0" w:color="auto"/>
        <w:left w:val="none" w:sz="0" w:space="0" w:color="auto"/>
        <w:bottom w:val="none" w:sz="0" w:space="0" w:color="auto"/>
        <w:right w:val="none" w:sz="0" w:space="0" w:color="auto"/>
      </w:divBdr>
    </w:div>
    <w:div w:id="1565528282">
      <w:bodyDiv w:val="1"/>
      <w:marLeft w:val="0"/>
      <w:marRight w:val="0"/>
      <w:marTop w:val="0"/>
      <w:marBottom w:val="0"/>
      <w:divBdr>
        <w:top w:val="none" w:sz="0" w:space="0" w:color="auto"/>
        <w:left w:val="none" w:sz="0" w:space="0" w:color="auto"/>
        <w:bottom w:val="none" w:sz="0" w:space="0" w:color="auto"/>
        <w:right w:val="none" w:sz="0" w:space="0" w:color="auto"/>
      </w:divBdr>
    </w:div>
    <w:div w:id="16201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2022-11-21T05:19:00Z</dcterms:created>
  <dcterms:modified xsi:type="dcterms:W3CDTF">2022-11-21T05:19:00Z</dcterms:modified>
</cp:coreProperties>
</file>